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E35ED" w14:textId="04575268" w:rsidR="00115035" w:rsidRPr="00D143F2" w:rsidRDefault="005213E2" w:rsidP="00D143F2">
      <w:pPr>
        <w:jc w:val="center"/>
      </w:pPr>
    </w:p>
    <w:p w14:paraId="52FABAB4" w14:textId="0EDBF8D8" w:rsidR="00E93FC7" w:rsidRPr="00D143F2" w:rsidRDefault="005E55F6" w:rsidP="00D143F2">
      <w:pPr>
        <w:pStyle w:val="DecHTitle"/>
      </w:pPr>
      <w:r w:rsidRPr="00D143F2">
        <w:t>FIRST SECTION</w:t>
      </w:r>
    </w:p>
    <w:p w14:paraId="77D96560" w14:textId="77777777" w:rsidR="00E93FC7" w:rsidRPr="00D143F2" w:rsidRDefault="006267D3" w:rsidP="00D143F2">
      <w:pPr>
        <w:pStyle w:val="DecHTitle"/>
      </w:pPr>
      <w:r w:rsidRPr="00D143F2">
        <w:t>DECISION</w:t>
      </w:r>
    </w:p>
    <w:p w14:paraId="6A1319D8" w14:textId="6A53DEEE" w:rsidR="00EE3667" w:rsidRPr="00D143F2" w:rsidRDefault="005E55F6" w:rsidP="00D143F2">
      <w:pPr>
        <w:pStyle w:val="DecHCase"/>
        <w:rPr>
          <w:i/>
        </w:rPr>
      </w:pPr>
      <w:r w:rsidRPr="00D143F2">
        <w:rPr>
          <w:noProof/>
        </w:rPr>
        <w:t>Application no.</w:t>
      </w:r>
      <w:r w:rsidR="006267D3" w:rsidRPr="00D143F2">
        <w:t xml:space="preserve"> </w:t>
      </w:r>
      <w:r w:rsidRPr="00D143F2">
        <w:t>51572/07</w:t>
      </w:r>
      <w:r w:rsidR="006267D3" w:rsidRPr="00D143F2">
        <w:br/>
      </w:r>
      <w:bookmarkStart w:id="0" w:name="_GoBack"/>
      <w:r w:rsidRPr="00D143F2">
        <w:rPr>
          <w:noProof/>
        </w:rPr>
        <w:t xml:space="preserve">CASA NEL VERDE PRIMA S.R.L. </w:t>
      </w:r>
      <w:r w:rsidR="006267D3" w:rsidRPr="00D143F2">
        <w:t xml:space="preserve">against </w:t>
      </w:r>
      <w:r w:rsidRPr="00D143F2">
        <w:t>Italy</w:t>
      </w:r>
      <w:r w:rsidRPr="00D143F2">
        <w:rPr>
          <w:noProof/>
          <w:sz w:val="20"/>
          <w:lang w:eastAsia="en-GB"/>
        </w:rPr>
        <w:br/>
      </w:r>
      <w:r w:rsidRPr="00D143F2">
        <w:rPr>
          <w:noProof/>
        </w:rPr>
        <w:t xml:space="preserve">and </w:t>
      </w:r>
      <w:r w:rsidR="00497CA1" w:rsidRPr="00D143F2">
        <w:rPr>
          <w:noProof/>
        </w:rPr>
        <w:t>2</w:t>
      </w:r>
      <w:r w:rsidRPr="00D143F2">
        <w:rPr>
          <w:noProof/>
        </w:rPr>
        <w:t xml:space="preserve"> other applications</w:t>
      </w:r>
      <w:bookmarkEnd w:id="0"/>
      <w:r w:rsidRPr="00D143F2">
        <w:rPr>
          <w:noProof/>
        </w:rPr>
        <w:br/>
        <w:t>(see list appended)</w:t>
      </w:r>
    </w:p>
    <w:p w14:paraId="79D36AFA" w14:textId="139236BA" w:rsidR="00E93FC7" w:rsidRPr="00D143F2" w:rsidRDefault="005213E2" w:rsidP="00D143F2">
      <w:pPr>
        <w:rPr>
          <w:sz w:val="2"/>
          <w:szCs w:val="2"/>
        </w:rPr>
      </w:pPr>
    </w:p>
    <w:p w14:paraId="3EBBEE29" w14:textId="6864272E" w:rsidR="005E55F6" w:rsidRPr="00D143F2" w:rsidRDefault="005E55F6" w:rsidP="00D143F2">
      <w:pPr>
        <w:pStyle w:val="JuPara"/>
      </w:pPr>
      <w:r w:rsidRPr="00D143F2">
        <w:t xml:space="preserve">The European Court of Human Rights (First Section), sitting on </w:t>
      </w:r>
      <w:r w:rsidR="00497CA1" w:rsidRPr="00D143F2">
        <w:t xml:space="preserve">8 November 2022 </w:t>
      </w:r>
      <w:r w:rsidRPr="00D143F2">
        <w:t>as a Committee composed of:</w:t>
      </w:r>
    </w:p>
    <w:p w14:paraId="4AAC5FC1" w14:textId="248C839A" w:rsidR="005E55F6" w:rsidRPr="00D143F2" w:rsidRDefault="00497CA1" w:rsidP="00D143F2">
      <w:pPr>
        <w:pStyle w:val="JuJudges"/>
        <w:rPr>
          <w:iCs/>
        </w:rPr>
      </w:pPr>
      <w:r w:rsidRPr="00D143F2">
        <w:tab/>
        <w:t xml:space="preserve">Alena </w:t>
      </w:r>
      <w:proofErr w:type="spellStart"/>
      <w:r w:rsidRPr="00D143F2">
        <w:t>Poláčková</w:t>
      </w:r>
      <w:proofErr w:type="spellEnd"/>
      <w:r w:rsidRPr="00D143F2">
        <w:rPr>
          <w:i/>
        </w:rPr>
        <w:t>, President</w:t>
      </w:r>
      <w:r w:rsidRPr="00D143F2">
        <w:t>,</w:t>
      </w:r>
      <w:r w:rsidRPr="00D143F2">
        <w:br/>
      </w:r>
      <w:r w:rsidRPr="00D143F2">
        <w:tab/>
        <w:t xml:space="preserve">Gilberto </w:t>
      </w:r>
      <w:proofErr w:type="spellStart"/>
      <w:r w:rsidRPr="00D143F2">
        <w:t>Felici</w:t>
      </w:r>
      <w:proofErr w:type="spellEnd"/>
      <w:r w:rsidRPr="00D143F2">
        <w:t>,</w:t>
      </w:r>
      <w:r w:rsidRPr="00D143F2">
        <w:br/>
      </w:r>
      <w:r w:rsidRPr="00D143F2">
        <w:tab/>
        <w:t>Raffaele Sabato</w:t>
      </w:r>
      <w:r w:rsidRPr="00D143F2">
        <w:rPr>
          <w:i/>
        </w:rPr>
        <w:t>, judges</w:t>
      </w:r>
      <w:r w:rsidRPr="00D143F2">
        <w:t>,</w:t>
      </w:r>
      <w:r w:rsidR="005E55F6" w:rsidRPr="00D143F2">
        <w:br/>
        <w:t xml:space="preserve">and Liv Tigerstedt, </w:t>
      </w:r>
      <w:r w:rsidR="005E55F6" w:rsidRPr="00D143F2">
        <w:rPr>
          <w:i/>
        </w:rPr>
        <w:t>Deputy</w:t>
      </w:r>
      <w:r w:rsidR="005E55F6" w:rsidRPr="00D143F2">
        <w:t xml:space="preserve"> </w:t>
      </w:r>
      <w:r w:rsidR="005E55F6" w:rsidRPr="00D143F2">
        <w:rPr>
          <w:i/>
          <w:iCs/>
        </w:rPr>
        <w:t>Section Registrar</w:t>
      </w:r>
      <w:r w:rsidR="005E55F6" w:rsidRPr="00D143F2">
        <w:rPr>
          <w:i/>
        </w:rPr>
        <w:t>,</w:t>
      </w:r>
    </w:p>
    <w:p w14:paraId="51E2462E" w14:textId="77777777" w:rsidR="005E55F6" w:rsidRPr="00D143F2" w:rsidRDefault="005E55F6" w:rsidP="00D143F2">
      <w:pPr>
        <w:pStyle w:val="JuPara"/>
      </w:pPr>
      <w:r w:rsidRPr="00D143F2">
        <w:t>Having regard to:</w:t>
      </w:r>
    </w:p>
    <w:p w14:paraId="70AB2F18" w14:textId="77777777" w:rsidR="005E55F6" w:rsidRPr="00D143F2" w:rsidRDefault="005E55F6" w:rsidP="00D143F2">
      <w:pPr>
        <w:pStyle w:val="JuPara"/>
      </w:pPr>
      <w:r w:rsidRPr="00D143F2">
        <w:t>the applications against the Italian Republic lodged with the Court under Article 34 of the Convention for the Protection of Human Rights and Fundamental Freedoms (“the Convention”) by the applicants listed in the appended table (“the applicants”),</w:t>
      </w:r>
      <w:r w:rsidRPr="00D143F2">
        <w:rPr>
          <w:b/>
          <w:bCs/>
        </w:rPr>
        <w:t xml:space="preserve"> </w:t>
      </w:r>
      <w:r w:rsidRPr="00D143F2">
        <w:t>on the various dates indicated therein;</w:t>
      </w:r>
    </w:p>
    <w:p w14:paraId="723AAA7F" w14:textId="25590AC0" w:rsidR="005E55F6" w:rsidRPr="00D143F2" w:rsidRDefault="005E55F6" w:rsidP="00D143F2">
      <w:pPr>
        <w:pStyle w:val="JuPara"/>
      </w:pPr>
      <w:r w:rsidRPr="00D143F2">
        <w:t xml:space="preserve">the decision to give notice of the applications to the Italian Government (“the Government”) represented by their Agent, Mr Lorenzo </w:t>
      </w:r>
      <w:proofErr w:type="spellStart"/>
      <w:r w:rsidRPr="00D143F2">
        <w:t>D</w:t>
      </w:r>
      <w:r w:rsidR="0059609C" w:rsidRPr="00D143F2">
        <w:t>’</w:t>
      </w:r>
      <w:r w:rsidRPr="00D143F2">
        <w:t>Ascia</w:t>
      </w:r>
      <w:proofErr w:type="spellEnd"/>
      <w:r w:rsidRPr="00D143F2">
        <w:t>;</w:t>
      </w:r>
    </w:p>
    <w:p w14:paraId="4FABB0DD" w14:textId="2AD0FEEB" w:rsidR="005E55F6" w:rsidRPr="00D143F2" w:rsidRDefault="005E55F6" w:rsidP="00D143F2">
      <w:pPr>
        <w:pStyle w:val="JuPara"/>
      </w:pPr>
      <w:r w:rsidRPr="00D143F2">
        <w:t>the parties</w:t>
      </w:r>
      <w:r w:rsidR="0059609C" w:rsidRPr="00D143F2">
        <w:t>’</w:t>
      </w:r>
      <w:r w:rsidRPr="00D143F2">
        <w:t xml:space="preserve"> observations;</w:t>
      </w:r>
    </w:p>
    <w:p w14:paraId="08ACE954" w14:textId="085E336D" w:rsidR="005E55F6" w:rsidRPr="00D143F2" w:rsidRDefault="005E55F6" w:rsidP="00D143F2">
      <w:pPr>
        <w:pStyle w:val="JuPara"/>
      </w:pPr>
      <w:r w:rsidRPr="00D143F2">
        <w:t>the decision to reject the Government</w:t>
      </w:r>
      <w:r w:rsidR="0059609C" w:rsidRPr="00D143F2">
        <w:t>’</w:t>
      </w:r>
      <w:r w:rsidRPr="00D143F2">
        <w:t>s objection to the examination of the applications by a Committee;</w:t>
      </w:r>
    </w:p>
    <w:p w14:paraId="6C7FE33A" w14:textId="77777777" w:rsidR="005E55F6" w:rsidRPr="00D143F2" w:rsidRDefault="005E55F6" w:rsidP="00D143F2">
      <w:pPr>
        <w:pStyle w:val="JuPara"/>
      </w:pPr>
      <w:r w:rsidRPr="00D143F2">
        <w:t>Having deliberated, decides as follows:</w:t>
      </w:r>
    </w:p>
    <w:p w14:paraId="013D0C41" w14:textId="7DE5F243" w:rsidR="005E55F6" w:rsidRPr="00D143F2" w:rsidRDefault="005E55F6" w:rsidP="00D143F2">
      <w:pPr>
        <w:pStyle w:val="JuHHead"/>
        <w:numPr>
          <w:ilvl w:val="0"/>
          <w:numId w:val="0"/>
        </w:numPr>
      </w:pPr>
      <w:r w:rsidRPr="00D143F2">
        <w:t>SUBJECT MATTER OF THE CASE</w:t>
      </w:r>
    </w:p>
    <w:p w14:paraId="1E0BC78C" w14:textId="6C525885"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1</w:t>
      </w:r>
      <w:r>
        <w:rPr>
          <w:noProof/>
        </w:rPr>
        <w:fldChar w:fldCharType="end"/>
      </w:r>
      <w:r w:rsidR="005E55F6" w:rsidRPr="00D143F2">
        <w:t>.  The case concerns the deprivation of the applicant companies</w:t>
      </w:r>
      <w:r w:rsidR="0059609C" w:rsidRPr="00D143F2">
        <w:t>’</w:t>
      </w:r>
      <w:r w:rsidR="005E55F6" w:rsidRPr="00D143F2">
        <w:t xml:space="preserve"> land through the application of the constructive-expropriation rule (“</w:t>
      </w:r>
      <w:proofErr w:type="spellStart"/>
      <w:r w:rsidR="005E55F6" w:rsidRPr="00D143F2">
        <w:rPr>
          <w:i/>
        </w:rPr>
        <w:t>accessione</w:t>
      </w:r>
      <w:proofErr w:type="spellEnd"/>
      <w:r w:rsidR="005E55F6" w:rsidRPr="00D143F2">
        <w:rPr>
          <w:i/>
        </w:rPr>
        <w:t xml:space="preserve"> </w:t>
      </w:r>
      <w:proofErr w:type="spellStart"/>
      <w:r w:rsidR="005E55F6" w:rsidRPr="00D143F2">
        <w:rPr>
          <w:i/>
        </w:rPr>
        <w:t>invertita</w:t>
      </w:r>
      <w:proofErr w:type="spellEnd"/>
      <w:r w:rsidR="005E55F6" w:rsidRPr="00D143F2">
        <w:t>” or “</w:t>
      </w:r>
      <w:proofErr w:type="spellStart"/>
      <w:r w:rsidR="005E55F6" w:rsidRPr="00D143F2">
        <w:rPr>
          <w:i/>
        </w:rPr>
        <w:t>occupazione</w:t>
      </w:r>
      <w:proofErr w:type="spellEnd"/>
      <w:r w:rsidR="005E55F6" w:rsidRPr="00D143F2">
        <w:rPr>
          <w:i/>
        </w:rPr>
        <w:t xml:space="preserve"> </w:t>
      </w:r>
      <w:proofErr w:type="spellStart"/>
      <w:r w:rsidR="005E55F6" w:rsidRPr="00D143F2">
        <w:rPr>
          <w:i/>
        </w:rPr>
        <w:t>acquisitiva</w:t>
      </w:r>
      <w:proofErr w:type="spellEnd"/>
      <w:r w:rsidR="005E55F6" w:rsidRPr="00D143F2">
        <w:t>”) by the domestic courts.</w:t>
      </w:r>
    </w:p>
    <w:p w14:paraId="44F30699" w14:textId="6D83F453"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2</w:t>
      </w:r>
      <w:r>
        <w:rPr>
          <w:noProof/>
        </w:rPr>
        <w:fldChar w:fldCharType="end"/>
      </w:r>
      <w:r w:rsidR="005E55F6" w:rsidRPr="00D143F2">
        <w:t xml:space="preserve">.  The applicant companies were the joint owners of a plot of land located in </w:t>
      </w:r>
      <w:proofErr w:type="spellStart"/>
      <w:r w:rsidR="005E55F6" w:rsidRPr="00D143F2">
        <w:t>Monterotondo</w:t>
      </w:r>
      <w:proofErr w:type="spellEnd"/>
      <w:r w:rsidR="005E55F6" w:rsidRPr="00D143F2">
        <w:t>. Each company owned 30% of the land, while the remaining 10% was owned by a third party.</w:t>
      </w:r>
    </w:p>
    <w:p w14:paraId="3A50FE87" w14:textId="22813A69"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3</w:t>
      </w:r>
      <w:r>
        <w:rPr>
          <w:noProof/>
        </w:rPr>
        <w:fldChar w:fldCharType="end"/>
      </w:r>
      <w:r w:rsidR="005E55F6" w:rsidRPr="00D143F2">
        <w:t xml:space="preserve">.  On different dates between 1977 and 1980, the </w:t>
      </w:r>
      <w:proofErr w:type="spellStart"/>
      <w:r w:rsidR="005E55F6" w:rsidRPr="00D143F2">
        <w:t>Monterotondo</w:t>
      </w:r>
      <w:proofErr w:type="spellEnd"/>
      <w:r w:rsidR="005E55F6" w:rsidRPr="00D143F2">
        <w:t xml:space="preserve"> municipal council approved a project to build a social-housing complex on </w:t>
      </w:r>
      <w:r w:rsidR="005E55F6" w:rsidRPr="00D143F2">
        <w:lastRenderedPageBreak/>
        <w:t>approximately 5,100 square metres of the applicant companies</w:t>
      </w:r>
      <w:r w:rsidR="0059609C" w:rsidRPr="00D143F2">
        <w:t>’</w:t>
      </w:r>
      <w:r w:rsidR="005E55F6" w:rsidRPr="00D143F2">
        <w:t xml:space="preserve"> land. A</w:t>
      </w:r>
      <w:r w:rsidR="0059609C" w:rsidRPr="00D143F2">
        <w:t> </w:t>
      </w:r>
      <w:r w:rsidR="005E55F6" w:rsidRPr="00D143F2">
        <w:t>cooperative company was entrusted with the execution of the construction works.</w:t>
      </w:r>
    </w:p>
    <w:p w14:paraId="5041423B" w14:textId="4450279E"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bookmarkStart w:id="1" w:name="paragraph00004"/>
      <w:r w:rsidR="00D143F2" w:rsidRPr="00D143F2">
        <w:rPr>
          <w:noProof/>
        </w:rPr>
        <w:t>4</w:t>
      </w:r>
      <w:bookmarkEnd w:id="1"/>
      <w:r>
        <w:rPr>
          <w:noProof/>
        </w:rPr>
        <w:fldChar w:fldCharType="end"/>
      </w:r>
      <w:r w:rsidR="005E55F6" w:rsidRPr="00D143F2">
        <w:t>.  On 5 January 1980 the municipality was authorised to occupy the land for a period of five years, with a view to its subsequent expropriation. On 30 April 1980 the municipality took possession of the land. The authorisation was subsequently extended twice for further periods of one year, until 30 April 1987. By that date, the land had been irreversibly altered by the construction works but the administration had not issued a formal expropriation order.</w:t>
      </w:r>
    </w:p>
    <w:p w14:paraId="7296AC52" w14:textId="35F4590F"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5</w:t>
      </w:r>
      <w:r>
        <w:rPr>
          <w:noProof/>
        </w:rPr>
        <w:fldChar w:fldCharType="end"/>
      </w:r>
      <w:r w:rsidR="005E55F6" w:rsidRPr="00D143F2">
        <w:t xml:space="preserve">.  The applicant companies brought an action for damages against the </w:t>
      </w:r>
      <w:proofErr w:type="spellStart"/>
      <w:r w:rsidR="005E55F6" w:rsidRPr="00D143F2">
        <w:t>Monterotondo</w:t>
      </w:r>
      <w:proofErr w:type="spellEnd"/>
      <w:r w:rsidR="005E55F6" w:rsidRPr="00D143F2">
        <w:t xml:space="preserve"> municipality and the cooperative company before the Rome District Court. They alleged that the occupation of the land was unlawful, in that the period of lawful occupation had expired and the construction of the building had been completed without a formal expropriation with payment of compensation.</w:t>
      </w:r>
    </w:p>
    <w:p w14:paraId="195DAC4B" w14:textId="30447EA9" w:rsidR="005E55F6" w:rsidRPr="00D143F2" w:rsidRDefault="005E55F6" w:rsidP="00D143F2">
      <w:pPr>
        <w:pStyle w:val="JuPara"/>
        <w:rPr>
          <w:rFonts w:cstheme="minorHAnsi"/>
          <w:color w:val="000000"/>
        </w:rPr>
      </w:pPr>
      <w:r w:rsidRPr="00D143F2">
        <w:rPr>
          <w:rFonts w:cstheme="minorHAnsi"/>
          <w:color w:val="000000"/>
        </w:rPr>
        <w:fldChar w:fldCharType="begin"/>
      </w:r>
      <w:r w:rsidRPr="00D143F2">
        <w:rPr>
          <w:rFonts w:cstheme="minorHAnsi"/>
          <w:color w:val="000000"/>
        </w:rPr>
        <w:instrText xml:space="preserve"> SEQ level0 \*arabic \* MERGEFORMAT </w:instrText>
      </w:r>
      <w:r w:rsidRPr="00D143F2">
        <w:rPr>
          <w:rFonts w:cstheme="minorHAnsi"/>
          <w:color w:val="000000"/>
        </w:rPr>
        <w:fldChar w:fldCharType="separate"/>
      </w:r>
      <w:r w:rsidR="00D143F2" w:rsidRPr="00D143F2">
        <w:rPr>
          <w:rFonts w:cstheme="minorHAnsi"/>
          <w:noProof/>
          <w:color w:val="000000"/>
        </w:rPr>
        <w:t>6</w:t>
      </w:r>
      <w:r w:rsidRPr="00D143F2">
        <w:rPr>
          <w:rFonts w:cstheme="minorHAnsi"/>
          <w:color w:val="000000"/>
        </w:rPr>
        <w:fldChar w:fldCharType="end"/>
      </w:r>
      <w:r w:rsidRPr="00D143F2">
        <w:rPr>
          <w:rFonts w:cstheme="minorHAnsi"/>
          <w:color w:val="000000"/>
        </w:rPr>
        <w:t xml:space="preserve">.  On 17 February 1989, the Rome District Court issued a partial judgment declaring </w:t>
      </w:r>
      <w:r w:rsidRPr="00D143F2">
        <w:t>that</w:t>
      </w:r>
      <w:r w:rsidRPr="00D143F2">
        <w:rPr>
          <w:rFonts w:cstheme="minorHAnsi"/>
          <w:color w:val="000000"/>
        </w:rPr>
        <w:t xml:space="preserve"> the occupation of the land had become unlawful since 1</w:t>
      </w:r>
      <w:r w:rsidR="0045471B" w:rsidRPr="00D143F2">
        <w:rPr>
          <w:rFonts w:cstheme="minorHAnsi"/>
          <w:color w:val="000000"/>
        </w:rPr>
        <w:t> </w:t>
      </w:r>
      <w:r w:rsidRPr="00D143F2">
        <w:rPr>
          <w:rFonts w:cstheme="minorHAnsi"/>
          <w:color w:val="000000"/>
        </w:rPr>
        <w:t>May 1987 and the proceedings continued for the determination of damages.</w:t>
      </w:r>
    </w:p>
    <w:p w14:paraId="39A77F4E" w14:textId="64DC22FF" w:rsidR="005E55F6" w:rsidRPr="00D143F2" w:rsidRDefault="005E55F6" w:rsidP="00D143F2">
      <w:pPr>
        <w:pStyle w:val="JuPara"/>
        <w:rPr>
          <w:rFonts w:cstheme="minorHAnsi"/>
          <w:color w:val="000000"/>
        </w:rPr>
      </w:pPr>
      <w:r w:rsidRPr="00D143F2">
        <w:rPr>
          <w:rFonts w:cstheme="minorHAnsi"/>
          <w:color w:val="000000"/>
        </w:rPr>
        <w:fldChar w:fldCharType="begin"/>
      </w:r>
      <w:r w:rsidRPr="00D143F2">
        <w:rPr>
          <w:rFonts w:cstheme="minorHAnsi"/>
          <w:color w:val="000000"/>
        </w:rPr>
        <w:instrText xml:space="preserve"> SEQ level0 \*arabic \* MERGEFORMAT </w:instrText>
      </w:r>
      <w:r w:rsidRPr="00D143F2">
        <w:rPr>
          <w:rFonts w:cstheme="minorHAnsi"/>
          <w:color w:val="000000"/>
        </w:rPr>
        <w:fldChar w:fldCharType="separate"/>
      </w:r>
      <w:bookmarkStart w:id="2" w:name="paragraph00007"/>
      <w:r w:rsidR="00D143F2" w:rsidRPr="00D143F2">
        <w:rPr>
          <w:rFonts w:cstheme="minorHAnsi"/>
          <w:noProof/>
          <w:color w:val="000000"/>
        </w:rPr>
        <w:t>7</w:t>
      </w:r>
      <w:bookmarkEnd w:id="2"/>
      <w:r w:rsidRPr="00D143F2">
        <w:rPr>
          <w:rFonts w:cstheme="minorHAnsi"/>
          <w:color w:val="000000"/>
        </w:rPr>
        <w:fldChar w:fldCharType="end"/>
      </w:r>
      <w:r w:rsidRPr="00D143F2">
        <w:rPr>
          <w:rFonts w:cstheme="minorHAnsi"/>
          <w:color w:val="000000"/>
        </w:rPr>
        <w:t>.  On 3 December 1992, the Rome District Court issued a judgment concerning damages. Although the court-appointed expert had established that the market value of the land in May 1987 amounted to 365,000,000</w:t>
      </w:r>
      <w:r w:rsidR="0059609C" w:rsidRPr="00D143F2">
        <w:rPr>
          <w:rFonts w:cstheme="minorHAnsi"/>
          <w:color w:val="000000"/>
        </w:rPr>
        <w:t> </w:t>
      </w:r>
      <w:r w:rsidRPr="00D143F2">
        <w:rPr>
          <w:rFonts w:cstheme="minorHAnsi"/>
          <w:color w:val="000000"/>
        </w:rPr>
        <w:t xml:space="preserve">Italian lire (ITL), the District Court noted that the expertise did not </w:t>
      </w:r>
      <w:proofErr w:type="gramStart"/>
      <w:r w:rsidRPr="00D143F2">
        <w:rPr>
          <w:rFonts w:cstheme="minorHAnsi"/>
          <w:color w:val="000000"/>
        </w:rPr>
        <w:t>take into account</w:t>
      </w:r>
      <w:proofErr w:type="gramEnd"/>
      <w:r w:rsidRPr="00D143F2">
        <w:rPr>
          <w:rFonts w:cstheme="minorHAnsi"/>
          <w:color w:val="000000"/>
        </w:rPr>
        <w:t xml:space="preserve"> the market value of neighbouring land with similar characteristics, which it considered to be an important factor for the calculation of the property</w:t>
      </w:r>
      <w:r w:rsidR="0059609C" w:rsidRPr="00D143F2">
        <w:rPr>
          <w:rFonts w:cstheme="minorHAnsi"/>
          <w:color w:val="000000"/>
        </w:rPr>
        <w:t>’</w:t>
      </w:r>
      <w:r w:rsidRPr="00D143F2">
        <w:rPr>
          <w:rFonts w:cstheme="minorHAnsi"/>
          <w:color w:val="000000"/>
        </w:rPr>
        <w:t xml:space="preserve">s value. With this in </w:t>
      </w:r>
      <w:r w:rsidRPr="00D143F2">
        <w:t>mind</w:t>
      </w:r>
      <w:r w:rsidRPr="00D143F2">
        <w:rPr>
          <w:rFonts w:cstheme="minorHAnsi"/>
          <w:color w:val="000000"/>
        </w:rPr>
        <w:t>, and ruling on an equitable basis, the Rome District Court redetermined the market value to 220,770,000</w:t>
      </w:r>
      <w:r w:rsidR="0045471B" w:rsidRPr="00D143F2">
        <w:rPr>
          <w:rFonts w:cstheme="minorHAnsi"/>
          <w:color w:val="000000"/>
        </w:rPr>
        <w:t> </w:t>
      </w:r>
      <w:r w:rsidRPr="00D143F2">
        <w:rPr>
          <w:rFonts w:cstheme="minorHAnsi"/>
          <w:color w:val="000000"/>
        </w:rPr>
        <w:t xml:space="preserve">ITL and awarded each company 30% of that sum, to be increased by a sum reflecting inflation </w:t>
      </w:r>
      <w:r w:rsidRPr="00D143F2">
        <w:t>adjustment</w:t>
      </w:r>
      <w:r w:rsidRPr="00D143F2">
        <w:rPr>
          <w:rFonts w:cstheme="minorHAnsi"/>
          <w:color w:val="000000"/>
        </w:rPr>
        <w:t xml:space="preserve"> and interest. Additionally, the municipality and the cooperative company were jointly ordered to pay compensation for the period of lawful occupation amounting to 23,180,850</w:t>
      </w:r>
      <w:r w:rsidR="0059609C" w:rsidRPr="00D143F2">
        <w:rPr>
          <w:rFonts w:cstheme="minorHAnsi"/>
          <w:color w:val="000000"/>
        </w:rPr>
        <w:t> </w:t>
      </w:r>
      <w:r w:rsidRPr="00D143F2">
        <w:rPr>
          <w:rFonts w:cstheme="minorHAnsi"/>
          <w:color w:val="000000"/>
        </w:rPr>
        <w:t>ITL for each company.</w:t>
      </w:r>
    </w:p>
    <w:p w14:paraId="69CBA6CE" w14:textId="704B4299" w:rsidR="005E55F6" w:rsidRPr="00D143F2" w:rsidRDefault="005E55F6" w:rsidP="00D143F2">
      <w:pPr>
        <w:pStyle w:val="JuPara"/>
        <w:rPr>
          <w:rFonts w:cstheme="minorHAnsi"/>
          <w:color w:val="000000"/>
        </w:rPr>
      </w:pPr>
      <w:r w:rsidRPr="00D143F2">
        <w:rPr>
          <w:rFonts w:cstheme="minorHAnsi"/>
          <w:color w:val="000000"/>
        </w:rPr>
        <w:fldChar w:fldCharType="begin"/>
      </w:r>
      <w:r w:rsidRPr="00D143F2">
        <w:rPr>
          <w:rFonts w:cstheme="minorHAnsi"/>
          <w:color w:val="000000"/>
        </w:rPr>
        <w:instrText xml:space="preserve"> SEQ level0 \*arabic \* MERGEFORMAT </w:instrText>
      </w:r>
      <w:r w:rsidRPr="00D143F2">
        <w:rPr>
          <w:rFonts w:cstheme="minorHAnsi"/>
          <w:color w:val="000000"/>
        </w:rPr>
        <w:fldChar w:fldCharType="separate"/>
      </w:r>
      <w:r w:rsidR="00D143F2" w:rsidRPr="00D143F2">
        <w:rPr>
          <w:rFonts w:cstheme="minorHAnsi"/>
          <w:noProof/>
          <w:color w:val="000000"/>
        </w:rPr>
        <w:t>8</w:t>
      </w:r>
      <w:r w:rsidRPr="00D143F2">
        <w:rPr>
          <w:rFonts w:cstheme="minorHAnsi"/>
          <w:color w:val="000000"/>
        </w:rPr>
        <w:fldChar w:fldCharType="end"/>
      </w:r>
      <w:r w:rsidRPr="00D143F2">
        <w:rPr>
          <w:rFonts w:cstheme="minorHAnsi"/>
          <w:color w:val="000000"/>
        </w:rPr>
        <w:t>.  The cooperative company appealed against the District Court</w:t>
      </w:r>
      <w:r w:rsidR="0059609C" w:rsidRPr="00D143F2">
        <w:rPr>
          <w:rFonts w:cstheme="minorHAnsi"/>
          <w:color w:val="000000"/>
        </w:rPr>
        <w:t>’</w:t>
      </w:r>
      <w:r w:rsidRPr="00D143F2">
        <w:rPr>
          <w:rFonts w:cstheme="minorHAnsi"/>
          <w:color w:val="000000"/>
        </w:rPr>
        <w:t>s judgment before the Rome Court of Appeal. The applicant companies filed a cross-appeal contesting the determination of the market value of the land. The municipality took part in the proceedings but did not contest the first instance judgment.</w:t>
      </w:r>
    </w:p>
    <w:p w14:paraId="44CB1403" w14:textId="08F2ADE5" w:rsidR="005E55F6" w:rsidRPr="00D143F2" w:rsidRDefault="005E55F6" w:rsidP="00D143F2">
      <w:pPr>
        <w:pStyle w:val="JuPara"/>
        <w:rPr>
          <w:rFonts w:cstheme="minorHAnsi"/>
          <w:color w:val="000000"/>
        </w:rPr>
      </w:pPr>
      <w:r w:rsidRPr="00D143F2">
        <w:rPr>
          <w:rFonts w:cstheme="minorHAnsi"/>
          <w:color w:val="000000"/>
        </w:rPr>
        <w:fldChar w:fldCharType="begin"/>
      </w:r>
      <w:r w:rsidRPr="00D143F2">
        <w:rPr>
          <w:rFonts w:cstheme="minorHAnsi"/>
          <w:color w:val="000000"/>
        </w:rPr>
        <w:instrText xml:space="preserve"> SEQ level0 \*arabic \* MERGEFORMAT </w:instrText>
      </w:r>
      <w:r w:rsidRPr="00D143F2">
        <w:rPr>
          <w:rFonts w:cstheme="minorHAnsi"/>
          <w:color w:val="000000"/>
        </w:rPr>
        <w:fldChar w:fldCharType="separate"/>
      </w:r>
      <w:bookmarkStart w:id="3" w:name="paragraph00009"/>
      <w:r w:rsidR="00D143F2" w:rsidRPr="00D143F2">
        <w:rPr>
          <w:rFonts w:cstheme="minorHAnsi"/>
          <w:noProof/>
          <w:color w:val="000000"/>
        </w:rPr>
        <w:t>9</w:t>
      </w:r>
      <w:bookmarkEnd w:id="3"/>
      <w:r w:rsidRPr="00D143F2">
        <w:rPr>
          <w:rFonts w:cstheme="minorHAnsi"/>
          <w:color w:val="000000"/>
        </w:rPr>
        <w:fldChar w:fldCharType="end"/>
      </w:r>
      <w:r w:rsidRPr="00D143F2">
        <w:rPr>
          <w:rFonts w:cstheme="minorHAnsi"/>
          <w:color w:val="000000"/>
        </w:rPr>
        <w:t>.  By a partial judgment of 24 November 1997, the Rome Court of Appeal excluded the liability of the cooperative company and the proceedings continued for the assessment of damages. A new court-ordered expert valuation was carried out, and the market value of the land was redetermined at 869,070,000 ITL.</w:t>
      </w:r>
    </w:p>
    <w:p w14:paraId="3DCB9580" w14:textId="163AA0A9" w:rsidR="005E55F6" w:rsidRPr="00D143F2" w:rsidRDefault="005E55F6" w:rsidP="00D143F2">
      <w:pPr>
        <w:pStyle w:val="JuPara"/>
        <w:rPr>
          <w:rFonts w:cstheme="minorHAnsi"/>
          <w:color w:val="000000"/>
        </w:rPr>
      </w:pPr>
      <w:r w:rsidRPr="00D143F2">
        <w:rPr>
          <w:rFonts w:cstheme="minorHAnsi"/>
          <w:color w:val="000000"/>
        </w:rPr>
        <w:fldChar w:fldCharType="begin"/>
      </w:r>
      <w:r w:rsidRPr="00D143F2">
        <w:rPr>
          <w:rFonts w:cstheme="minorHAnsi"/>
          <w:color w:val="000000"/>
        </w:rPr>
        <w:instrText xml:space="preserve"> SEQ level0 \*arabic \* MERGEFORMAT </w:instrText>
      </w:r>
      <w:r w:rsidRPr="00D143F2">
        <w:rPr>
          <w:rFonts w:cstheme="minorHAnsi"/>
          <w:color w:val="000000"/>
        </w:rPr>
        <w:fldChar w:fldCharType="separate"/>
      </w:r>
      <w:r w:rsidR="00D143F2" w:rsidRPr="00D143F2">
        <w:rPr>
          <w:rFonts w:cstheme="minorHAnsi"/>
          <w:noProof/>
          <w:color w:val="000000"/>
        </w:rPr>
        <w:t>10</w:t>
      </w:r>
      <w:r w:rsidRPr="00D143F2">
        <w:rPr>
          <w:rFonts w:cstheme="minorHAnsi"/>
          <w:color w:val="000000"/>
        </w:rPr>
        <w:fldChar w:fldCharType="end"/>
      </w:r>
      <w:r w:rsidRPr="00D143F2">
        <w:rPr>
          <w:rFonts w:cstheme="minorHAnsi"/>
          <w:color w:val="000000"/>
        </w:rPr>
        <w:t xml:space="preserve">.  On 16 December 2002, the Rome Court of Appeal made an award </w:t>
      </w:r>
      <w:r w:rsidRPr="00D143F2">
        <w:rPr>
          <w:rFonts w:cstheme="minorHAnsi"/>
        </w:rPr>
        <w:t xml:space="preserve">amounting to </w:t>
      </w:r>
      <w:r w:rsidRPr="00D143F2">
        <w:rPr>
          <w:rFonts w:cstheme="minorHAnsi"/>
          <w:color w:val="000000"/>
        </w:rPr>
        <w:t>55% of the property</w:t>
      </w:r>
      <w:r w:rsidR="0059609C" w:rsidRPr="00D143F2">
        <w:rPr>
          <w:rFonts w:cstheme="minorHAnsi"/>
          <w:color w:val="000000"/>
        </w:rPr>
        <w:t>’</w:t>
      </w:r>
      <w:r w:rsidRPr="00D143F2">
        <w:rPr>
          <w:rFonts w:cstheme="minorHAnsi"/>
          <w:color w:val="000000"/>
        </w:rPr>
        <w:t xml:space="preserve">s market value, based on the criteria </w:t>
      </w:r>
      <w:r w:rsidRPr="00D143F2">
        <w:rPr>
          <w:rFonts w:cstheme="minorHAnsi"/>
          <w:color w:val="000000"/>
        </w:rPr>
        <w:lastRenderedPageBreak/>
        <w:t xml:space="preserve">contained in Article 5 </w:t>
      </w:r>
      <w:r w:rsidRPr="00D143F2">
        <w:rPr>
          <w:rFonts w:cstheme="minorHAnsi"/>
          <w:i/>
          <w:iCs/>
          <w:color w:val="000000"/>
        </w:rPr>
        <w:t xml:space="preserve">bis </w:t>
      </w:r>
      <w:r w:rsidRPr="00D143F2">
        <w:rPr>
          <w:rFonts w:cstheme="minorHAnsi"/>
          <w:color w:val="000000"/>
        </w:rPr>
        <w:t xml:space="preserve">of Legislative Decree no. 333 of </w:t>
      </w:r>
      <w:r w:rsidRPr="00D143F2">
        <w:rPr>
          <w:rFonts w:cstheme="minorHAnsi"/>
        </w:rPr>
        <w:t>11</w:t>
      </w:r>
      <w:r w:rsidR="0071330B" w:rsidRPr="00D143F2">
        <w:rPr>
          <w:rFonts w:cstheme="minorHAnsi"/>
        </w:rPr>
        <w:t xml:space="preserve"> </w:t>
      </w:r>
      <w:r w:rsidRPr="00D143F2">
        <w:rPr>
          <w:rFonts w:cstheme="minorHAnsi"/>
        </w:rPr>
        <w:t>July 1992, as amended by Law no. 662 of 1996</w:t>
      </w:r>
      <w:r w:rsidRPr="00D143F2">
        <w:rPr>
          <w:rFonts w:cstheme="minorHAnsi"/>
          <w:color w:val="000000"/>
        </w:rPr>
        <w:t>. Both the municipality and the applicant companies appealed before the Court of Cassation.</w:t>
      </w:r>
    </w:p>
    <w:p w14:paraId="4633243E" w14:textId="72F52D20" w:rsidR="005E55F6" w:rsidRPr="00D143F2" w:rsidRDefault="005E55F6" w:rsidP="00D143F2">
      <w:pPr>
        <w:pStyle w:val="JuPara"/>
        <w:rPr>
          <w:rFonts w:cstheme="minorHAnsi"/>
          <w:color w:val="000000"/>
        </w:rPr>
      </w:pPr>
      <w:r w:rsidRPr="00D143F2">
        <w:rPr>
          <w:rFonts w:cstheme="minorHAnsi"/>
          <w:color w:val="000000"/>
        </w:rPr>
        <w:fldChar w:fldCharType="begin"/>
      </w:r>
      <w:r w:rsidRPr="00D143F2">
        <w:rPr>
          <w:rFonts w:cstheme="minorHAnsi"/>
          <w:color w:val="000000"/>
        </w:rPr>
        <w:instrText xml:space="preserve"> SEQ level0 \*arabic \* MERGEFORMAT </w:instrText>
      </w:r>
      <w:r w:rsidRPr="00D143F2">
        <w:rPr>
          <w:rFonts w:cstheme="minorHAnsi"/>
          <w:color w:val="000000"/>
        </w:rPr>
        <w:fldChar w:fldCharType="separate"/>
      </w:r>
      <w:bookmarkStart w:id="4" w:name="paragraph00011"/>
      <w:r w:rsidR="00D143F2" w:rsidRPr="00D143F2">
        <w:rPr>
          <w:rFonts w:cstheme="minorHAnsi"/>
          <w:noProof/>
          <w:color w:val="000000"/>
        </w:rPr>
        <w:t>11</w:t>
      </w:r>
      <w:bookmarkEnd w:id="4"/>
      <w:r w:rsidRPr="00D143F2">
        <w:rPr>
          <w:rFonts w:cstheme="minorHAnsi"/>
          <w:color w:val="000000"/>
        </w:rPr>
        <w:fldChar w:fldCharType="end"/>
      </w:r>
      <w:r w:rsidRPr="00D143F2">
        <w:rPr>
          <w:rFonts w:cstheme="minorHAnsi"/>
          <w:color w:val="000000"/>
        </w:rPr>
        <w:t>.  On 25 May 2007, the Court of Cassation quashed the Court of Appeal</w:t>
      </w:r>
      <w:r w:rsidR="0059609C" w:rsidRPr="00D143F2">
        <w:rPr>
          <w:rFonts w:cstheme="minorHAnsi"/>
          <w:color w:val="000000"/>
        </w:rPr>
        <w:t>’</w:t>
      </w:r>
      <w:r w:rsidRPr="00D143F2">
        <w:rPr>
          <w:rFonts w:cstheme="minorHAnsi"/>
          <w:color w:val="000000"/>
        </w:rPr>
        <w:t>s judgment without remitting it. It established that the applicant companies</w:t>
      </w:r>
      <w:r w:rsidR="0059609C" w:rsidRPr="00D143F2">
        <w:rPr>
          <w:rFonts w:cstheme="minorHAnsi"/>
          <w:color w:val="000000"/>
        </w:rPr>
        <w:t>’</w:t>
      </w:r>
      <w:r w:rsidRPr="00D143F2">
        <w:rPr>
          <w:rFonts w:cstheme="minorHAnsi"/>
          <w:color w:val="000000"/>
        </w:rPr>
        <w:t xml:space="preserve"> cross-appeal had been lodged out of time and, as a consequence, confirmed the first instance judgment with regard to the liability of the municipality and the award of damages.</w:t>
      </w:r>
    </w:p>
    <w:p w14:paraId="33024913" w14:textId="4F971A7D"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12</w:t>
      </w:r>
      <w:r>
        <w:rPr>
          <w:noProof/>
        </w:rPr>
        <w:fldChar w:fldCharType="end"/>
      </w:r>
      <w:r w:rsidR="005E55F6" w:rsidRPr="00D143F2">
        <w:t xml:space="preserve">.  The applicant </w:t>
      </w:r>
      <w:proofErr w:type="spellStart"/>
      <w:r w:rsidR="005E55F6" w:rsidRPr="00D143F2">
        <w:t>complanies</w:t>
      </w:r>
      <w:proofErr w:type="spellEnd"/>
      <w:r w:rsidR="005E55F6" w:rsidRPr="00D143F2">
        <w:t xml:space="preserve"> complained that they had been unlawfully deprived of their land contrary to Article 1 of Protocol No. 1 to the Convention. They argued that the deprivation of property, in the absence of a formal expropriation order, was unlawful. They further complained that they could not obtain either the restitution of the land or adequate redress for the dispossession of their land, and that compensation had been awarded more than twenty-four years after the expropriation.</w:t>
      </w:r>
    </w:p>
    <w:p w14:paraId="79BA1C9D" w14:textId="2382350E" w:rsidR="005E55F6" w:rsidRPr="00D143F2" w:rsidRDefault="005E55F6" w:rsidP="00D143F2">
      <w:pPr>
        <w:pStyle w:val="JuHHead"/>
        <w:keepNext w:val="0"/>
        <w:keepLines w:val="0"/>
        <w:numPr>
          <w:ilvl w:val="0"/>
          <w:numId w:val="1"/>
        </w:numPr>
      </w:pPr>
      <w:r w:rsidRPr="00D143F2">
        <w:t>THE COURT</w:t>
      </w:r>
      <w:r w:rsidR="0059609C" w:rsidRPr="00D143F2">
        <w:t>’</w:t>
      </w:r>
      <w:r w:rsidRPr="00D143F2">
        <w:t>S ASSESSMENT</w:t>
      </w:r>
    </w:p>
    <w:p w14:paraId="73E8B482" w14:textId="7233AD1F"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13</w:t>
      </w:r>
      <w:r>
        <w:rPr>
          <w:noProof/>
        </w:rPr>
        <w:fldChar w:fldCharType="end"/>
      </w:r>
      <w:r w:rsidR="005E55F6" w:rsidRPr="00D143F2">
        <w:t>.  Having regard to the similar subject matter of the applications, the Court finds it appropriate to examine them jointly in a single decision.</w:t>
      </w:r>
    </w:p>
    <w:p w14:paraId="4161DAA2" w14:textId="031B244F"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14</w:t>
      </w:r>
      <w:r>
        <w:rPr>
          <w:noProof/>
        </w:rPr>
        <w:fldChar w:fldCharType="end"/>
      </w:r>
      <w:r w:rsidR="005E55F6" w:rsidRPr="00D143F2">
        <w:t>.  The Court notes at the outset that it does not have to decide on the Government</w:t>
      </w:r>
      <w:r w:rsidR="0059609C" w:rsidRPr="00D143F2">
        <w:t>’</w:t>
      </w:r>
      <w:r w:rsidR="005E55F6" w:rsidRPr="00D143F2">
        <w:t>s preliminary objections concerning non-compliance with the six-month time-limit and non-exhaustion of domestic remedies, since the application is inadmissible in any event on the following grounds.</w:t>
      </w:r>
    </w:p>
    <w:p w14:paraId="620D58FC" w14:textId="03A043BD"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15</w:t>
      </w:r>
      <w:r>
        <w:rPr>
          <w:noProof/>
        </w:rPr>
        <w:fldChar w:fldCharType="end"/>
      </w:r>
      <w:r w:rsidR="005E55F6" w:rsidRPr="00D143F2">
        <w:t>.  The relevant domestic law and practice concerning constructive expropriation is to be found in </w:t>
      </w:r>
      <w:proofErr w:type="spellStart"/>
      <w:r w:rsidR="005E55F6" w:rsidRPr="00D143F2">
        <w:rPr>
          <w:i/>
          <w:iCs/>
        </w:rPr>
        <w:t>Guiso-Gallisay</w:t>
      </w:r>
      <w:proofErr w:type="spellEnd"/>
      <w:r w:rsidR="005E55F6" w:rsidRPr="00D143F2">
        <w:rPr>
          <w:i/>
          <w:iCs/>
        </w:rPr>
        <w:t xml:space="preserve"> v. Italy </w:t>
      </w:r>
      <w:r w:rsidR="005E55F6" w:rsidRPr="00D143F2">
        <w:t>((just satisfaction) [GC], no. 58858/00, §§ 18-48, 22 December 2009).</w:t>
      </w:r>
    </w:p>
    <w:p w14:paraId="67ED0461" w14:textId="1BF69038"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16</w:t>
      </w:r>
      <w:r>
        <w:rPr>
          <w:noProof/>
        </w:rPr>
        <w:fldChar w:fldCharType="end"/>
      </w:r>
      <w:r w:rsidR="005E55F6" w:rsidRPr="00D143F2">
        <w:t>.  The Court notes that the applicants were deprived of their property by means of indirect or constructive expropriation, an interference with the right to the peaceful enjoyment of possessions which the Court has previously considered, in a large number of cases, to be incompatible with the principle of lawfulness, leading to findings of a violation of Article 1 of Protocol No.</w:t>
      </w:r>
      <w:r w:rsidR="00B42DD3" w:rsidRPr="00D143F2">
        <w:t> </w:t>
      </w:r>
      <w:r w:rsidR="005E55F6" w:rsidRPr="00D143F2">
        <w:t xml:space="preserve">1 (see, among many other authorities, </w:t>
      </w:r>
      <w:r w:rsidR="005E55F6" w:rsidRPr="00D143F2">
        <w:rPr>
          <w:i/>
        </w:rPr>
        <w:t>Carbonara and Ventura v. Italy</w:t>
      </w:r>
      <w:r w:rsidR="005E55F6" w:rsidRPr="00D143F2">
        <w:t>, no.</w:t>
      </w:r>
      <w:r w:rsidR="0059609C" w:rsidRPr="00D143F2">
        <w:t> </w:t>
      </w:r>
      <w:r w:rsidR="005E55F6" w:rsidRPr="00D143F2">
        <w:t>24638/94, §§ 63-73, ECHR 2000</w:t>
      </w:r>
      <w:r w:rsidR="005E55F6" w:rsidRPr="00D143F2">
        <w:noBreakHyphen/>
        <w:t xml:space="preserve">VI; and, as a more recent authority, </w:t>
      </w:r>
      <w:proofErr w:type="spellStart"/>
      <w:r w:rsidR="005E55F6" w:rsidRPr="00D143F2">
        <w:rPr>
          <w:i/>
        </w:rPr>
        <w:t>Messana</w:t>
      </w:r>
      <w:proofErr w:type="spellEnd"/>
      <w:r w:rsidR="005E55F6" w:rsidRPr="00D143F2">
        <w:rPr>
          <w:i/>
        </w:rPr>
        <w:t xml:space="preserve"> v. Italy</w:t>
      </w:r>
      <w:r w:rsidR="005E55F6" w:rsidRPr="00D143F2">
        <w:t>, no. 26128/04, §§ 38-43, 9 February 2017).</w:t>
      </w:r>
    </w:p>
    <w:p w14:paraId="7E80E5A9" w14:textId="63C90B7A" w:rsidR="005E55F6" w:rsidRPr="00D143F2" w:rsidRDefault="005E55F6" w:rsidP="00D143F2">
      <w:pPr>
        <w:pStyle w:val="JuPara"/>
        <w:rPr>
          <w:rFonts w:cstheme="minorHAnsi"/>
        </w:rPr>
      </w:pPr>
      <w:r w:rsidRPr="00D143F2">
        <w:rPr>
          <w:rFonts w:cstheme="minorHAnsi"/>
        </w:rPr>
        <w:fldChar w:fldCharType="begin"/>
      </w:r>
      <w:r w:rsidRPr="00D143F2">
        <w:rPr>
          <w:rFonts w:cstheme="minorHAnsi"/>
        </w:rPr>
        <w:instrText xml:space="preserve"> SEQ level0 \*arabic \* MERGEFORMAT </w:instrText>
      </w:r>
      <w:r w:rsidRPr="00D143F2">
        <w:rPr>
          <w:rFonts w:cstheme="minorHAnsi"/>
        </w:rPr>
        <w:fldChar w:fldCharType="separate"/>
      </w:r>
      <w:r w:rsidR="00D143F2" w:rsidRPr="00D143F2">
        <w:rPr>
          <w:rFonts w:cstheme="minorHAnsi"/>
          <w:noProof/>
        </w:rPr>
        <w:t>17</w:t>
      </w:r>
      <w:r w:rsidRPr="00D143F2">
        <w:rPr>
          <w:rFonts w:cstheme="minorHAnsi"/>
        </w:rPr>
        <w:fldChar w:fldCharType="end"/>
      </w:r>
      <w:r w:rsidRPr="00D143F2">
        <w:rPr>
          <w:rFonts w:cstheme="minorHAnsi"/>
        </w:rPr>
        <w:t>.  The Court further observes that the District Court of Rome acknowledged that the deprivation of property had been unlawful and held that the applicant companies were entitled to compensation. The Court is satisfied that this amounts to an acknowledgement by the domestic courts of the infringement complained of.</w:t>
      </w:r>
    </w:p>
    <w:p w14:paraId="31F77217" w14:textId="65990507"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18</w:t>
      </w:r>
      <w:r>
        <w:rPr>
          <w:noProof/>
        </w:rPr>
        <w:fldChar w:fldCharType="end"/>
      </w:r>
      <w:r w:rsidR="005E55F6" w:rsidRPr="00D143F2">
        <w:t xml:space="preserve">.  Following that determination, the Rome District Court awarded a sum that it considered equal to </w:t>
      </w:r>
      <w:r w:rsidR="005E55F6" w:rsidRPr="00D143F2">
        <w:rPr>
          <w:rFonts w:cstheme="minorHAnsi"/>
        </w:rPr>
        <w:t>the market value of the property (see paragraph</w:t>
      </w:r>
      <w:r w:rsidR="0071330B" w:rsidRPr="00D143F2">
        <w:rPr>
          <w:rFonts w:cstheme="minorHAnsi"/>
        </w:rPr>
        <w:t> </w:t>
      </w:r>
      <w:r w:rsidR="005E55F6" w:rsidRPr="00D143F2">
        <w:rPr>
          <w:rFonts w:cstheme="minorHAnsi"/>
        </w:rPr>
        <w:fldChar w:fldCharType="begin"/>
      </w:r>
      <w:r w:rsidR="005E55F6" w:rsidRPr="00D143F2">
        <w:rPr>
          <w:rFonts w:cstheme="minorHAnsi"/>
        </w:rPr>
        <w:instrText xml:space="preserve"> REF paragraph00007 \h  \* CharFormat </w:instrText>
      </w:r>
      <w:r w:rsidR="005E55F6" w:rsidRPr="00D143F2">
        <w:rPr>
          <w:rFonts w:cstheme="minorHAnsi"/>
        </w:rPr>
      </w:r>
      <w:r w:rsidR="005E55F6" w:rsidRPr="00D143F2">
        <w:rPr>
          <w:rFonts w:cstheme="minorHAnsi"/>
        </w:rPr>
        <w:fldChar w:fldCharType="separate"/>
      </w:r>
      <w:r w:rsidR="00D143F2" w:rsidRPr="00D143F2">
        <w:rPr>
          <w:rFonts w:cstheme="minorHAnsi"/>
        </w:rPr>
        <w:t>7</w:t>
      </w:r>
      <w:r w:rsidR="005E55F6" w:rsidRPr="00D143F2">
        <w:rPr>
          <w:rFonts w:cstheme="minorHAnsi"/>
        </w:rPr>
        <w:fldChar w:fldCharType="end"/>
      </w:r>
      <w:r w:rsidR="005E55F6" w:rsidRPr="00D143F2">
        <w:rPr>
          <w:rFonts w:cstheme="minorHAnsi"/>
        </w:rPr>
        <w:t xml:space="preserve"> above). As to the adequacy of such compensation, </w:t>
      </w:r>
      <w:r w:rsidR="005E55F6" w:rsidRPr="00D143F2">
        <w:t xml:space="preserve">the </w:t>
      </w:r>
      <w:r w:rsidR="005E55F6" w:rsidRPr="00D143F2">
        <w:rPr>
          <w:rFonts w:cstheme="minorHAnsi"/>
        </w:rPr>
        <w:t xml:space="preserve">applicant companies argued that the determination of the market value carried out by the Rome </w:t>
      </w:r>
      <w:r w:rsidR="005E55F6" w:rsidRPr="00D143F2">
        <w:rPr>
          <w:rFonts w:cstheme="minorHAnsi"/>
        </w:rPr>
        <w:lastRenderedPageBreak/>
        <w:t xml:space="preserve">District Court was incorrect. The Court notes, as pointed out by the Government, that the applicants did not appeal against the first instance judgment in accordance with the forms prescribed by national law, </w:t>
      </w:r>
      <w:r w:rsidR="005E55F6" w:rsidRPr="00D143F2">
        <w:t>thus depriving the domestic courts of the possibility of addressing the issue</w:t>
      </w:r>
      <w:r w:rsidR="005E55F6" w:rsidRPr="00D143F2">
        <w:rPr>
          <w:rFonts w:cstheme="minorHAnsi"/>
          <w:color w:val="000000"/>
        </w:rPr>
        <w:t xml:space="preserve"> (see</w:t>
      </w:r>
      <w:r w:rsidR="0059609C" w:rsidRPr="00D143F2">
        <w:rPr>
          <w:rFonts w:cstheme="minorHAnsi"/>
          <w:color w:val="000000"/>
        </w:rPr>
        <w:t> </w:t>
      </w:r>
      <w:r w:rsidR="005E55F6" w:rsidRPr="00D143F2">
        <w:rPr>
          <w:rFonts w:cstheme="minorHAnsi"/>
          <w:color w:val="000000"/>
        </w:rPr>
        <w:t xml:space="preserve">paragraph </w:t>
      </w:r>
      <w:r w:rsidR="005E55F6" w:rsidRPr="00D143F2">
        <w:rPr>
          <w:rFonts w:cstheme="minorHAnsi"/>
          <w:color w:val="000000"/>
        </w:rPr>
        <w:fldChar w:fldCharType="begin"/>
      </w:r>
      <w:r w:rsidR="005E55F6" w:rsidRPr="00D143F2">
        <w:rPr>
          <w:rFonts w:cstheme="minorHAnsi"/>
          <w:color w:val="000000"/>
        </w:rPr>
        <w:instrText xml:space="preserve"> REF paragraph00011 \h  \* CharFormat  \* MERGEFORMAT </w:instrText>
      </w:r>
      <w:r w:rsidR="005E55F6" w:rsidRPr="00D143F2">
        <w:rPr>
          <w:rFonts w:cstheme="minorHAnsi"/>
          <w:color w:val="000000"/>
        </w:rPr>
      </w:r>
      <w:r w:rsidR="005E55F6" w:rsidRPr="00D143F2">
        <w:rPr>
          <w:rFonts w:cstheme="minorHAnsi"/>
          <w:color w:val="000000"/>
        </w:rPr>
        <w:fldChar w:fldCharType="separate"/>
      </w:r>
      <w:r w:rsidR="00D143F2" w:rsidRPr="00D143F2">
        <w:rPr>
          <w:rFonts w:cstheme="minorHAnsi"/>
          <w:color w:val="000000"/>
        </w:rPr>
        <w:t>11</w:t>
      </w:r>
      <w:r w:rsidR="005E55F6" w:rsidRPr="00D143F2">
        <w:rPr>
          <w:rFonts w:cstheme="minorHAnsi"/>
          <w:color w:val="000000"/>
        </w:rPr>
        <w:fldChar w:fldCharType="end"/>
      </w:r>
      <w:r w:rsidR="005E55F6" w:rsidRPr="00D143F2">
        <w:rPr>
          <w:rFonts w:cstheme="minorHAnsi"/>
          <w:color w:val="000000"/>
        </w:rPr>
        <w:t xml:space="preserve"> above). </w:t>
      </w:r>
      <w:r w:rsidR="005E55F6" w:rsidRPr="00D143F2">
        <w:t>Furthermore, the Court observes that the Rome District Court did not simply reduce the market value as estimated by the court-appointed expert without explanation but provided specific reasoning, which does not appear to be manifestly arbitrary, on why it chose not to rely on the expert</w:t>
      </w:r>
      <w:r w:rsidR="0059609C" w:rsidRPr="00D143F2">
        <w:t>’</w:t>
      </w:r>
      <w:r w:rsidR="005E55F6" w:rsidRPr="00D143F2">
        <w:t xml:space="preserve">s valuation (see, in contrast, and </w:t>
      </w:r>
      <w:r w:rsidR="005E55F6" w:rsidRPr="00D143F2">
        <w:rPr>
          <w:i/>
          <w:iCs/>
        </w:rPr>
        <w:t>mutatis mutandis</w:t>
      </w:r>
      <w:r w:rsidR="005E55F6" w:rsidRPr="00D143F2">
        <w:t xml:space="preserve">, </w:t>
      </w:r>
      <w:proofErr w:type="spellStart"/>
      <w:r w:rsidR="005E55F6" w:rsidRPr="00D143F2">
        <w:rPr>
          <w:i/>
          <w:iCs/>
        </w:rPr>
        <w:t>Kutlu</w:t>
      </w:r>
      <w:proofErr w:type="spellEnd"/>
      <w:r w:rsidR="005E55F6" w:rsidRPr="00D143F2">
        <w:rPr>
          <w:i/>
          <w:iCs/>
        </w:rPr>
        <w:t xml:space="preserve"> and Others v. Turkey</w:t>
      </w:r>
      <w:r w:rsidR="005E55F6" w:rsidRPr="00D143F2">
        <w:t xml:space="preserve">, no. 51861/11, §§ 72-74, 13 December 2016). Indeed, the District Court criticised the expertise for disregarding the value of neighbouring land with similar characteristics, which is a line of reasoning consistent with the case-law of the Court (see, </w:t>
      </w:r>
      <w:r w:rsidR="005E55F6" w:rsidRPr="00D143F2">
        <w:rPr>
          <w:i/>
          <w:iCs/>
        </w:rPr>
        <w:t>mutatis mutandis</w:t>
      </w:r>
      <w:r w:rsidR="005E55F6" w:rsidRPr="00D143F2">
        <w:t xml:space="preserve">, </w:t>
      </w:r>
      <w:proofErr w:type="spellStart"/>
      <w:r w:rsidR="005E55F6" w:rsidRPr="00D143F2">
        <w:rPr>
          <w:i/>
          <w:iCs/>
        </w:rPr>
        <w:t>Preite</w:t>
      </w:r>
      <w:proofErr w:type="spellEnd"/>
      <w:r w:rsidR="0059609C" w:rsidRPr="00D143F2">
        <w:rPr>
          <w:i/>
          <w:iCs/>
        </w:rPr>
        <w:t> </w:t>
      </w:r>
      <w:r w:rsidR="005E55F6" w:rsidRPr="00D143F2">
        <w:rPr>
          <w:i/>
          <w:iCs/>
        </w:rPr>
        <w:t>v.</w:t>
      </w:r>
      <w:r w:rsidR="0059609C" w:rsidRPr="00D143F2">
        <w:rPr>
          <w:i/>
          <w:iCs/>
        </w:rPr>
        <w:t> </w:t>
      </w:r>
      <w:r w:rsidR="005E55F6" w:rsidRPr="00D143F2">
        <w:rPr>
          <w:i/>
          <w:iCs/>
        </w:rPr>
        <w:t>Italy</w:t>
      </w:r>
      <w:r w:rsidR="005E55F6" w:rsidRPr="00D143F2">
        <w:t>, no. 28976/05, § 70, 17 November 2015). In these circumstances, and having regard to the margin of appreciation afforded to national authorities in such matters, the Court is prepared to accept that the Rome District Court awarded a sum reflecting the property</w:t>
      </w:r>
      <w:r w:rsidR="0059609C" w:rsidRPr="00D143F2">
        <w:t>’</w:t>
      </w:r>
      <w:r w:rsidR="005E55F6" w:rsidRPr="00D143F2">
        <w:t>s market value.</w:t>
      </w:r>
    </w:p>
    <w:p w14:paraId="7CE0B332" w14:textId="40AF6714" w:rsidR="005E55F6" w:rsidRPr="00D143F2" w:rsidRDefault="005E55F6" w:rsidP="00D143F2">
      <w:pPr>
        <w:pStyle w:val="JuPara"/>
      </w:pPr>
      <w:r w:rsidRPr="00D143F2">
        <w:rPr>
          <w:rFonts w:cstheme="minorHAnsi"/>
        </w:rPr>
        <w:fldChar w:fldCharType="begin"/>
      </w:r>
      <w:r w:rsidRPr="00D143F2">
        <w:rPr>
          <w:rFonts w:cstheme="minorHAnsi"/>
        </w:rPr>
        <w:instrText xml:space="preserve"> SEQ level0 \*arabic \* MERGEFORMAT </w:instrText>
      </w:r>
      <w:r w:rsidRPr="00D143F2">
        <w:rPr>
          <w:rFonts w:cstheme="minorHAnsi"/>
        </w:rPr>
        <w:fldChar w:fldCharType="separate"/>
      </w:r>
      <w:r w:rsidR="00D143F2" w:rsidRPr="00D143F2">
        <w:rPr>
          <w:rFonts w:cstheme="minorHAnsi"/>
          <w:noProof/>
        </w:rPr>
        <w:t>19</w:t>
      </w:r>
      <w:r w:rsidRPr="00D143F2">
        <w:rPr>
          <w:rFonts w:cstheme="minorHAnsi"/>
        </w:rPr>
        <w:fldChar w:fldCharType="end"/>
      </w:r>
      <w:r w:rsidRPr="00D143F2">
        <w:rPr>
          <w:rFonts w:cstheme="minorHAnsi"/>
        </w:rPr>
        <w:t>.  The</w:t>
      </w:r>
      <w:r w:rsidRPr="00D143F2">
        <w:t xml:space="preserve"> Court points out that, in a similar case to the one under scrutiny, it found that a similar award to the one issued by the Rome District Court had constituted appropriate and sufficient redress for the breach of Article 1 of Protocol No. 1 suffered by the applicant, who – like the applicant companies – had been unlawfully dispossessed of his property, and concluded that the applicant could no longer be considered a victim of the violation complained of (see </w:t>
      </w:r>
      <w:r w:rsidRPr="00D143F2">
        <w:rPr>
          <w:i/>
        </w:rPr>
        <w:t xml:space="preserve">Armando </w:t>
      </w:r>
      <w:proofErr w:type="spellStart"/>
      <w:r w:rsidRPr="00D143F2">
        <w:rPr>
          <w:i/>
        </w:rPr>
        <w:t>Iannelli</w:t>
      </w:r>
      <w:proofErr w:type="spellEnd"/>
      <w:r w:rsidRPr="00D143F2">
        <w:rPr>
          <w:i/>
        </w:rPr>
        <w:t xml:space="preserve"> v. Italy</w:t>
      </w:r>
      <w:r w:rsidRPr="00D143F2">
        <w:t>, no. 24818/03, §§ 35-37, 12 February 2013).</w:t>
      </w:r>
    </w:p>
    <w:p w14:paraId="53477302" w14:textId="6636EB80" w:rsidR="005E55F6" w:rsidRPr="00D143F2" w:rsidRDefault="005E55F6" w:rsidP="00D143F2">
      <w:pPr>
        <w:pStyle w:val="JuPara"/>
        <w:rPr>
          <w:rFonts w:cstheme="minorHAnsi"/>
        </w:rPr>
      </w:pPr>
      <w:r w:rsidRPr="00D143F2">
        <w:rPr>
          <w:rFonts w:cstheme="minorHAnsi"/>
        </w:rPr>
        <w:fldChar w:fldCharType="begin"/>
      </w:r>
      <w:r w:rsidRPr="00D143F2">
        <w:rPr>
          <w:rFonts w:cstheme="minorHAnsi"/>
        </w:rPr>
        <w:instrText xml:space="preserve"> SEQ level0 \*arabic \* MERGEFORMAT </w:instrText>
      </w:r>
      <w:r w:rsidRPr="00D143F2">
        <w:rPr>
          <w:rFonts w:cstheme="minorHAnsi"/>
        </w:rPr>
        <w:fldChar w:fldCharType="separate"/>
      </w:r>
      <w:r w:rsidR="00D143F2" w:rsidRPr="00D143F2">
        <w:rPr>
          <w:rFonts w:cstheme="minorHAnsi"/>
          <w:noProof/>
        </w:rPr>
        <w:t>20</w:t>
      </w:r>
      <w:r w:rsidRPr="00D143F2">
        <w:rPr>
          <w:rFonts w:cstheme="minorHAnsi"/>
        </w:rPr>
        <w:fldChar w:fldCharType="end"/>
      </w:r>
      <w:r w:rsidRPr="00D143F2">
        <w:rPr>
          <w:rFonts w:cstheme="minorHAnsi"/>
        </w:rPr>
        <w:t>.  Nevertheless, in the present case the applicant companies also argued that they could not obtain the restitution of the land and complained about the excessive delay in issuing an award of damages.</w:t>
      </w:r>
    </w:p>
    <w:p w14:paraId="7713F8A7" w14:textId="5FE404DC" w:rsidR="005E55F6" w:rsidRPr="00D143F2" w:rsidRDefault="005E55F6" w:rsidP="00D143F2">
      <w:pPr>
        <w:pStyle w:val="JuPara"/>
      </w:pPr>
      <w:r w:rsidRPr="00D143F2">
        <w:rPr>
          <w:rFonts w:cstheme="minorHAnsi"/>
        </w:rPr>
        <w:fldChar w:fldCharType="begin"/>
      </w:r>
      <w:r w:rsidRPr="00D143F2">
        <w:rPr>
          <w:rFonts w:cstheme="minorHAnsi"/>
        </w:rPr>
        <w:instrText xml:space="preserve"> SEQ level0 \*arabic \* MERGEFORMAT </w:instrText>
      </w:r>
      <w:r w:rsidRPr="00D143F2">
        <w:rPr>
          <w:rFonts w:cstheme="minorHAnsi"/>
        </w:rPr>
        <w:fldChar w:fldCharType="separate"/>
      </w:r>
      <w:r w:rsidR="00D143F2" w:rsidRPr="00D143F2">
        <w:rPr>
          <w:rFonts w:cstheme="minorHAnsi"/>
          <w:noProof/>
        </w:rPr>
        <w:t>21</w:t>
      </w:r>
      <w:r w:rsidRPr="00D143F2">
        <w:rPr>
          <w:rFonts w:cstheme="minorHAnsi"/>
        </w:rPr>
        <w:fldChar w:fldCharType="end"/>
      </w:r>
      <w:r w:rsidRPr="00D143F2">
        <w:rPr>
          <w:rFonts w:cstheme="minorHAnsi"/>
        </w:rPr>
        <w:t xml:space="preserve">.  Insofar as they claimed the restitution of the land, the Court notes that the applicant companies themselves have acknowledged that the land had been irreversibly altered (see paragraph </w:t>
      </w:r>
      <w:r w:rsidRPr="00D143F2">
        <w:rPr>
          <w:rFonts w:cstheme="minorHAnsi"/>
        </w:rPr>
        <w:fldChar w:fldCharType="begin"/>
      </w:r>
      <w:r w:rsidRPr="00D143F2">
        <w:rPr>
          <w:rFonts w:cstheme="minorHAnsi"/>
        </w:rPr>
        <w:instrText xml:space="preserve"> REF paragraph00004 \h  \* CharFormat </w:instrText>
      </w:r>
      <w:r w:rsidRPr="00D143F2">
        <w:rPr>
          <w:rFonts w:cstheme="minorHAnsi"/>
        </w:rPr>
      </w:r>
      <w:r w:rsidRPr="00D143F2">
        <w:rPr>
          <w:rFonts w:cstheme="minorHAnsi"/>
        </w:rPr>
        <w:fldChar w:fldCharType="separate"/>
      </w:r>
      <w:r w:rsidR="00D143F2" w:rsidRPr="00D143F2">
        <w:rPr>
          <w:rFonts w:cstheme="minorHAnsi"/>
        </w:rPr>
        <w:t>4</w:t>
      </w:r>
      <w:r w:rsidRPr="00D143F2">
        <w:rPr>
          <w:rFonts w:cstheme="minorHAnsi"/>
        </w:rPr>
        <w:fldChar w:fldCharType="end"/>
      </w:r>
      <w:r w:rsidRPr="00D143F2">
        <w:rPr>
          <w:rFonts w:cstheme="minorHAnsi"/>
        </w:rPr>
        <w:t xml:space="preserve"> above) and, as a consequence, no </w:t>
      </w:r>
      <w:r w:rsidRPr="00D143F2">
        <w:rPr>
          <w:rFonts w:cstheme="minorHAnsi"/>
          <w:i/>
          <w:iCs/>
        </w:rPr>
        <w:t xml:space="preserve">restitutio in integrum </w:t>
      </w:r>
      <w:r w:rsidRPr="00D143F2">
        <w:rPr>
          <w:rFonts w:cstheme="minorHAnsi"/>
        </w:rPr>
        <w:t>was possible. In these circumstances, the Court considers that the granting of compensation corresponding to the value of the land may constitute an adequate form of redress (see</w:t>
      </w:r>
      <w:r w:rsidRPr="00D143F2">
        <w:rPr>
          <w:rFonts w:ascii="Times New Roman" w:eastAsia="Times New Roman" w:hAnsi="Times New Roman" w:cs="Times New Roman"/>
          <w:i/>
          <w:iCs/>
          <w:lang w:eastAsia="fr-FR"/>
        </w:rPr>
        <w:t xml:space="preserve"> </w:t>
      </w:r>
      <w:proofErr w:type="spellStart"/>
      <w:r w:rsidRPr="00D143F2">
        <w:rPr>
          <w:rFonts w:cstheme="minorHAnsi"/>
          <w:i/>
          <w:iCs/>
        </w:rPr>
        <w:t>Guiso-Gallisay</w:t>
      </w:r>
      <w:proofErr w:type="spellEnd"/>
      <w:r w:rsidRPr="00D143F2">
        <w:rPr>
          <w:rFonts w:cstheme="minorHAnsi"/>
          <w:i/>
          <w:iCs/>
        </w:rPr>
        <w:t xml:space="preserve"> </w:t>
      </w:r>
      <w:r w:rsidRPr="00D143F2">
        <w:rPr>
          <w:rFonts w:cstheme="minorHAnsi"/>
        </w:rPr>
        <w:t>(just satisfaction) [GC], cited above, § 96).</w:t>
      </w:r>
    </w:p>
    <w:p w14:paraId="54371235" w14:textId="13FC4585"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22</w:t>
      </w:r>
      <w:r>
        <w:rPr>
          <w:noProof/>
        </w:rPr>
        <w:fldChar w:fldCharType="end"/>
      </w:r>
      <w:r w:rsidR="005E55F6" w:rsidRPr="00D143F2">
        <w:t xml:space="preserve">.  Finally, with regard to the complaint about the delay in obtaining compensation, the Court reiterates that the sum awarded to the applicants was adjusted for inflation and statutory interest was applied, thus ensuring that the compensation was awarded with reference to circumstances liable to reduce its value, such as the passage of time (see </w:t>
      </w:r>
      <w:proofErr w:type="spellStart"/>
      <w:r w:rsidR="005E55F6" w:rsidRPr="00D143F2">
        <w:rPr>
          <w:i/>
          <w:iCs/>
        </w:rPr>
        <w:t>Guiso-Gallisay</w:t>
      </w:r>
      <w:proofErr w:type="spellEnd"/>
      <w:r w:rsidR="005E55F6" w:rsidRPr="00D143F2">
        <w:rPr>
          <w:i/>
          <w:iCs/>
        </w:rPr>
        <w:t xml:space="preserve"> </w:t>
      </w:r>
      <w:r w:rsidR="005E55F6" w:rsidRPr="00D143F2">
        <w:rPr>
          <w:rFonts w:cstheme="minorHAnsi"/>
        </w:rPr>
        <w:t>(just satisfaction) [GC],</w:t>
      </w:r>
      <w:r w:rsidR="005E55F6" w:rsidRPr="00D143F2">
        <w:t xml:space="preserve"> cited above, § 105).</w:t>
      </w:r>
    </w:p>
    <w:p w14:paraId="5FC258B0" w14:textId="16350089"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23</w:t>
      </w:r>
      <w:r>
        <w:rPr>
          <w:noProof/>
        </w:rPr>
        <w:fldChar w:fldCharType="end"/>
      </w:r>
      <w:r w:rsidR="005E55F6" w:rsidRPr="00D143F2">
        <w:t>.  In the light of the foregoing considerations, the Court is not persuaded by the applicants</w:t>
      </w:r>
      <w:r w:rsidR="0059609C" w:rsidRPr="00D143F2">
        <w:t>’</w:t>
      </w:r>
      <w:r w:rsidR="005E55F6" w:rsidRPr="00D143F2">
        <w:t xml:space="preserve"> arguments to the effect that the compensation awarded to them did not constitute appropriate and sufficient redress. The Court is </w:t>
      </w:r>
      <w:r w:rsidR="005E55F6" w:rsidRPr="00D143F2">
        <w:lastRenderedPageBreak/>
        <w:t>therefore satisfied that the applicant companies can no longer be considered victims of the violation complained of.</w:t>
      </w:r>
    </w:p>
    <w:p w14:paraId="2057EF79" w14:textId="55C5BF97" w:rsidR="005E55F6" w:rsidRPr="00D143F2" w:rsidRDefault="00675696" w:rsidP="00D143F2">
      <w:pPr>
        <w:pStyle w:val="JuPara"/>
      </w:pPr>
      <w:r>
        <w:rPr>
          <w:noProof/>
        </w:rPr>
        <w:fldChar w:fldCharType="begin"/>
      </w:r>
      <w:r>
        <w:rPr>
          <w:noProof/>
        </w:rPr>
        <w:instrText xml:space="preserve"> SEQ level0 \*arabic \* MERGEFORMAT </w:instrText>
      </w:r>
      <w:r>
        <w:rPr>
          <w:noProof/>
        </w:rPr>
        <w:fldChar w:fldCharType="separate"/>
      </w:r>
      <w:r w:rsidR="00D143F2" w:rsidRPr="00D143F2">
        <w:rPr>
          <w:noProof/>
        </w:rPr>
        <w:t>24</w:t>
      </w:r>
      <w:r>
        <w:rPr>
          <w:noProof/>
        </w:rPr>
        <w:fldChar w:fldCharType="end"/>
      </w:r>
      <w:r w:rsidR="005E55F6" w:rsidRPr="00D143F2">
        <w:t>.  It follows that the applications are incompatible </w:t>
      </w:r>
      <w:proofErr w:type="spellStart"/>
      <w:r w:rsidR="005E55F6" w:rsidRPr="00D143F2">
        <w:rPr>
          <w:i/>
          <w:iCs/>
        </w:rPr>
        <w:t>ratione</w:t>
      </w:r>
      <w:proofErr w:type="spellEnd"/>
      <w:r w:rsidR="005E55F6" w:rsidRPr="00D143F2">
        <w:rPr>
          <w:i/>
          <w:iCs/>
        </w:rPr>
        <w:t xml:space="preserve"> personae</w:t>
      </w:r>
      <w:r w:rsidR="005E55F6" w:rsidRPr="00D143F2">
        <w:t> with the provisions of the Convention within the meaning of Article</w:t>
      </w:r>
      <w:r w:rsidR="00B42DD3" w:rsidRPr="00D143F2">
        <w:t> </w:t>
      </w:r>
      <w:r w:rsidR="005E55F6" w:rsidRPr="00D143F2">
        <w:t>35 § 3 (a) and must be rejected in accordance with Article 35 § 4.</w:t>
      </w:r>
    </w:p>
    <w:p w14:paraId="688AAECD" w14:textId="119DF2A1" w:rsidR="005E55F6" w:rsidRPr="00D143F2" w:rsidRDefault="005E55F6" w:rsidP="00D143F2">
      <w:pPr>
        <w:pStyle w:val="JuParaLast"/>
      </w:pPr>
      <w:r w:rsidRPr="00D143F2">
        <w:t>For these reasons, the Court, unanimously,</w:t>
      </w:r>
    </w:p>
    <w:p w14:paraId="2B60D101" w14:textId="77777777" w:rsidR="005E55F6" w:rsidRPr="00D143F2" w:rsidRDefault="005E55F6" w:rsidP="00D143F2">
      <w:pPr>
        <w:pStyle w:val="DecList"/>
        <w:rPr>
          <w:i/>
        </w:rPr>
      </w:pPr>
      <w:r w:rsidRPr="00D143F2">
        <w:rPr>
          <w:i/>
        </w:rPr>
        <w:t>Decides</w:t>
      </w:r>
      <w:r w:rsidRPr="00D143F2">
        <w:t xml:space="preserve"> to join the applications;</w:t>
      </w:r>
    </w:p>
    <w:p w14:paraId="3C3EE7BC" w14:textId="77777777" w:rsidR="005E55F6" w:rsidRPr="00D143F2" w:rsidRDefault="005E55F6" w:rsidP="00D143F2">
      <w:pPr>
        <w:pStyle w:val="DecList"/>
      </w:pPr>
      <w:r w:rsidRPr="00D143F2">
        <w:rPr>
          <w:i/>
        </w:rPr>
        <w:t>Declares</w:t>
      </w:r>
      <w:r w:rsidRPr="00D143F2">
        <w:t xml:space="preserve"> the applications inadmissible.</w:t>
      </w:r>
    </w:p>
    <w:p w14:paraId="544CDF01" w14:textId="498949F0" w:rsidR="00BD1692" w:rsidRPr="00D143F2" w:rsidRDefault="006267D3" w:rsidP="00D143F2">
      <w:pPr>
        <w:pStyle w:val="JuParaLast"/>
        <w:rPr>
          <w:sz w:val="14"/>
        </w:rPr>
      </w:pPr>
      <w:r w:rsidRPr="00D143F2">
        <w:t xml:space="preserve">Done in English and notified in writing on </w:t>
      </w:r>
      <w:r w:rsidR="005E55F6" w:rsidRPr="00D143F2">
        <w:rPr>
          <w:noProof/>
        </w:rPr>
        <w:t>1 December 2022</w:t>
      </w:r>
      <w:r w:rsidRPr="00D143F2">
        <w:t>.</w:t>
      </w:r>
    </w:p>
    <w:p w14:paraId="2413FCB0" w14:textId="16357BC2" w:rsidR="00BD1692" w:rsidRPr="00D143F2" w:rsidRDefault="00C8038F" w:rsidP="00D143F2">
      <w:pPr>
        <w:pStyle w:val="ECHRPlaceholder"/>
      </w:pPr>
      <w:r w:rsidRPr="00D143F2">
        <w:tab/>
      </w:r>
    </w:p>
    <w:p w14:paraId="2DD19ED1" w14:textId="2B42268F" w:rsidR="002B6368" w:rsidRPr="00D143F2" w:rsidRDefault="007907C0" w:rsidP="00D143F2">
      <w:pPr>
        <w:pStyle w:val="JuSigned"/>
      </w:pPr>
      <w:r w:rsidRPr="00D143F2">
        <w:tab/>
      </w:r>
      <w:r w:rsidR="005E55F6" w:rsidRPr="00D143F2">
        <w:rPr>
          <w:rFonts w:eastAsia="PMingLiU"/>
          <w:noProof/>
        </w:rPr>
        <w:t>Liv Tigerstedt</w:t>
      </w:r>
      <w:r w:rsidR="001D1233" w:rsidRPr="00D143F2">
        <w:tab/>
      </w:r>
      <w:r w:rsidR="005E55F6" w:rsidRPr="00D143F2">
        <w:rPr>
          <w:noProof/>
        </w:rPr>
        <w:t>Alena Poláčková</w:t>
      </w:r>
      <w:r w:rsidR="001D1233" w:rsidRPr="00D143F2">
        <w:br/>
      </w:r>
      <w:r w:rsidR="001D1233" w:rsidRPr="00D143F2">
        <w:tab/>
      </w:r>
      <w:r w:rsidR="005E55F6" w:rsidRPr="00D143F2">
        <w:rPr>
          <w:noProof/>
        </w:rPr>
        <w:t>Deputy Registrar</w:t>
      </w:r>
      <w:r w:rsidR="006267D3" w:rsidRPr="00D143F2">
        <w:tab/>
        <w:t>President</w:t>
      </w:r>
    </w:p>
    <w:p w14:paraId="68144F2B" w14:textId="3F04E6F3" w:rsidR="005E55F6" w:rsidRPr="00D143F2" w:rsidRDefault="005E55F6" w:rsidP="00D143F2">
      <w:pPr>
        <w:pStyle w:val="JuPara"/>
        <w:rPr>
          <w:noProof/>
        </w:rPr>
      </w:pPr>
      <w:r w:rsidRPr="00D143F2">
        <w:rPr>
          <w:noProof/>
        </w:rPr>
        <w:br w:type="page"/>
      </w:r>
    </w:p>
    <w:p w14:paraId="6E2E1A08" w14:textId="77777777" w:rsidR="005E55F6" w:rsidRPr="00D143F2" w:rsidRDefault="005E55F6" w:rsidP="00D143F2">
      <w:pPr>
        <w:pStyle w:val="JuTitle"/>
        <w:rPr>
          <w:noProof/>
        </w:rPr>
      </w:pPr>
    </w:p>
    <w:p w14:paraId="4DC95EE9" w14:textId="7FC523D3" w:rsidR="005E55F6" w:rsidRPr="00D143F2" w:rsidRDefault="005E55F6" w:rsidP="00D143F2">
      <w:pPr>
        <w:pStyle w:val="DecHTitle"/>
      </w:pPr>
      <w:r w:rsidRPr="00D143F2">
        <w:rPr>
          <w:noProof/>
        </w:rPr>
        <w:t>Appendix</w:t>
      </w:r>
    </w:p>
    <w:tbl>
      <w:tblPr>
        <w:tblStyle w:val="ECHRListTable"/>
        <w:tblW w:w="9782" w:type="dxa"/>
        <w:tblInd w:w="-998" w:type="dxa"/>
        <w:tblLook w:val="0420" w:firstRow="1" w:lastRow="0" w:firstColumn="0" w:lastColumn="0" w:noHBand="0" w:noVBand="1"/>
      </w:tblPr>
      <w:tblGrid>
        <w:gridCol w:w="570"/>
        <w:gridCol w:w="1699"/>
        <w:gridCol w:w="1659"/>
        <w:gridCol w:w="1318"/>
        <w:gridCol w:w="2835"/>
        <w:gridCol w:w="1701"/>
      </w:tblGrid>
      <w:tr w:rsidR="00C966A8" w:rsidRPr="00D143F2" w14:paraId="2BC1B9A7" w14:textId="03984D12" w:rsidTr="0071330B">
        <w:trPr>
          <w:cnfStyle w:val="100000000000" w:firstRow="1" w:lastRow="0" w:firstColumn="0" w:lastColumn="0" w:oddVBand="0" w:evenVBand="0" w:oddHBand="0" w:evenHBand="0" w:firstRowFirstColumn="0" w:firstRowLastColumn="0" w:lastRowFirstColumn="0" w:lastRowLastColumn="0"/>
        </w:trPr>
        <w:tc>
          <w:tcPr>
            <w:tcW w:w="570" w:type="dxa"/>
            <w:hideMark/>
          </w:tcPr>
          <w:p w14:paraId="414AE05E" w14:textId="77777777" w:rsidR="00C966A8" w:rsidRPr="00D143F2" w:rsidRDefault="00C966A8" w:rsidP="00D143F2">
            <w:pPr>
              <w:rPr>
                <w:rFonts w:eastAsia="Times New Roman"/>
              </w:rPr>
            </w:pPr>
            <w:r w:rsidRPr="00D143F2">
              <w:rPr>
                <w:rFonts w:eastAsia="Times New Roman"/>
              </w:rPr>
              <w:t>No.</w:t>
            </w:r>
          </w:p>
        </w:tc>
        <w:tc>
          <w:tcPr>
            <w:tcW w:w="1699" w:type="dxa"/>
            <w:hideMark/>
          </w:tcPr>
          <w:p w14:paraId="708E5A2D" w14:textId="77777777" w:rsidR="00C966A8" w:rsidRPr="00D143F2" w:rsidRDefault="00C966A8" w:rsidP="00D143F2">
            <w:pPr>
              <w:rPr>
                <w:rFonts w:eastAsia="Times New Roman"/>
              </w:rPr>
            </w:pPr>
            <w:r w:rsidRPr="00D143F2">
              <w:rPr>
                <w:rFonts w:eastAsia="Times New Roman"/>
              </w:rPr>
              <w:t>Application no.</w:t>
            </w:r>
          </w:p>
        </w:tc>
        <w:tc>
          <w:tcPr>
            <w:tcW w:w="1659" w:type="dxa"/>
            <w:hideMark/>
          </w:tcPr>
          <w:p w14:paraId="20265CFF" w14:textId="77777777" w:rsidR="00C966A8" w:rsidRPr="00D143F2" w:rsidRDefault="00C966A8" w:rsidP="00D143F2">
            <w:pPr>
              <w:rPr>
                <w:rFonts w:eastAsia="Times New Roman"/>
              </w:rPr>
            </w:pPr>
            <w:r w:rsidRPr="00D143F2">
              <w:rPr>
                <w:rFonts w:eastAsia="Times New Roman"/>
              </w:rPr>
              <w:t>Case name</w:t>
            </w:r>
          </w:p>
        </w:tc>
        <w:tc>
          <w:tcPr>
            <w:tcW w:w="1318" w:type="dxa"/>
            <w:hideMark/>
          </w:tcPr>
          <w:p w14:paraId="7ACA64CC" w14:textId="77777777" w:rsidR="00C966A8" w:rsidRPr="00D143F2" w:rsidRDefault="00C966A8" w:rsidP="00D143F2">
            <w:pPr>
              <w:rPr>
                <w:rFonts w:eastAsia="Times New Roman"/>
              </w:rPr>
            </w:pPr>
            <w:r w:rsidRPr="00D143F2">
              <w:rPr>
                <w:rFonts w:eastAsia="Times New Roman"/>
              </w:rPr>
              <w:t>Lodged on</w:t>
            </w:r>
          </w:p>
        </w:tc>
        <w:tc>
          <w:tcPr>
            <w:tcW w:w="2835" w:type="dxa"/>
            <w:hideMark/>
          </w:tcPr>
          <w:p w14:paraId="4189CEDC" w14:textId="77777777" w:rsidR="00C966A8" w:rsidRPr="00D143F2" w:rsidRDefault="00C966A8" w:rsidP="00D143F2">
            <w:pPr>
              <w:rPr>
                <w:rFonts w:eastAsia="Times New Roman"/>
              </w:rPr>
            </w:pPr>
            <w:r w:rsidRPr="00D143F2">
              <w:rPr>
                <w:rFonts w:eastAsia="Times New Roman"/>
              </w:rPr>
              <w:t>Applicant</w:t>
            </w:r>
            <w:r w:rsidRPr="00D143F2">
              <w:rPr>
                <w:rFonts w:eastAsia="Times New Roman"/>
              </w:rPr>
              <w:br/>
              <w:t>Place and Country of Registration</w:t>
            </w:r>
          </w:p>
        </w:tc>
        <w:tc>
          <w:tcPr>
            <w:tcW w:w="1701" w:type="dxa"/>
          </w:tcPr>
          <w:p w14:paraId="04D16683" w14:textId="42EE600F" w:rsidR="00C966A8" w:rsidRPr="00D143F2" w:rsidRDefault="00C966A8" w:rsidP="00D143F2">
            <w:pPr>
              <w:rPr>
                <w:rFonts w:eastAsia="Times New Roman"/>
              </w:rPr>
            </w:pPr>
            <w:r w:rsidRPr="00D143F2">
              <w:rPr>
                <w:rFonts w:eastAsia="Times New Roman"/>
              </w:rPr>
              <w:t>Represented by</w:t>
            </w:r>
          </w:p>
        </w:tc>
      </w:tr>
      <w:tr w:rsidR="00C966A8" w:rsidRPr="00D143F2" w14:paraId="5CEC64CF" w14:textId="70566131" w:rsidTr="0071330B">
        <w:tc>
          <w:tcPr>
            <w:tcW w:w="570" w:type="dxa"/>
            <w:hideMark/>
          </w:tcPr>
          <w:p w14:paraId="41FBFF7A" w14:textId="77777777" w:rsidR="00C966A8" w:rsidRPr="00D143F2" w:rsidRDefault="00C966A8" w:rsidP="00D143F2">
            <w:pPr>
              <w:rPr>
                <w:rFonts w:eastAsia="Times New Roman"/>
              </w:rPr>
            </w:pPr>
            <w:r w:rsidRPr="00D143F2">
              <w:rPr>
                <w:rFonts w:eastAsia="Times New Roman"/>
              </w:rPr>
              <w:t>1.</w:t>
            </w:r>
          </w:p>
        </w:tc>
        <w:tc>
          <w:tcPr>
            <w:tcW w:w="1699" w:type="dxa"/>
            <w:hideMark/>
          </w:tcPr>
          <w:p w14:paraId="7B84D3EB" w14:textId="77777777" w:rsidR="00C966A8" w:rsidRPr="00D143F2" w:rsidRDefault="00C966A8" w:rsidP="00D143F2">
            <w:pPr>
              <w:rPr>
                <w:rFonts w:eastAsia="Times New Roman"/>
              </w:rPr>
            </w:pPr>
            <w:r w:rsidRPr="00D143F2">
              <w:rPr>
                <w:rFonts w:eastAsia="Times New Roman"/>
              </w:rPr>
              <w:t>51572/07</w:t>
            </w:r>
          </w:p>
        </w:tc>
        <w:tc>
          <w:tcPr>
            <w:tcW w:w="1659" w:type="dxa"/>
            <w:hideMark/>
          </w:tcPr>
          <w:p w14:paraId="31C2CE17" w14:textId="77777777" w:rsidR="00C966A8" w:rsidRPr="00D143F2" w:rsidRDefault="00C966A8" w:rsidP="00D143F2">
            <w:pPr>
              <w:rPr>
                <w:rFonts w:eastAsia="Times New Roman"/>
                <w:lang w:val="it-IT"/>
              </w:rPr>
            </w:pPr>
            <w:r w:rsidRPr="00D143F2">
              <w:rPr>
                <w:rFonts w:eastAsia="Times New Roman"/>
                <w:lang w:val="it-IT"/>
              </w:rPr>
              <w:t xml:space="preserve">Casa nel Verde Prima S.r.l. v. </w:t>
            </w:r>
            <w:proofErr w:type="spellStart"/>
            <w:r w:rsidRPr="00D143F2">
              <w:rPr>
                <w:rFonts w:eastAsia="Times New Roman"/>
                <w:lang w:val="it-IT"/>
              </w:rPr>
              <w:t>Italy</w:t>
            </w:r>
            <w:proofErr w:type="spellEnd"/>
          </w:p>
        </w:tc>
        <w:tc>
          <w:tcPr>
            <w:tcW w:w="1318" w:type="dxa"/>
            <w:hideMark/>
          </w:tcPr>
          <w:p w14:paraId="19691B9A" w14:textId="77777777" w:rsidR="00C966A8" w:rsidRPr="00D143F2" w:rsidRDefault="00C966A8" w:rsidP="00D143F2">
            <w:pPr>
              <w:rPr>
                <w:rFonts w:eastAsia="Times New Roman"/>
              </w:rPr>
            </w:pPr>
            <w:r w:rsidRPr="00D143F2">
              <w:rPr>
                <w:rFonts w:eastAsia="Times New Roman"/>
              </w:rPr>
              <w:t>20/11/2007</w:t>
            </w:r>
          </w:p>
        </w:tc>
        <w:tc>
          <w:tcPr>
            <w:tcW w:w="2835" w:type="dxa"/>
            <w:hideMark/>
          </w:tcPr>
          <w:p w14:paraId="7054B537" w14:textId="77777777" w:rsidR="00C966A8" w:rsidRPr="00D143F2" w:rsidRDefault="00C966A8" w:rsidP="00D143F2">
            <w:pPr>
              <w:rPr>
                <w:rFonts w:eastAsia="Times New Roman"/>
                <w:lang w:val="it-IT"/>
              </w:rPr>
            </w:pPr>
            <w:r w:rsidRPr="00D143F2">
              <w:rPr>
                <w:rFonts w:eastAsia="Times New Roman"/>
                <w:b/>
                <w:bCs/>
                <w:lang w:val="it-IT"/>
              </w:rPr>
              <w:t>CASA NEL VERDE PRIMA S.R.L.</w:t>
            </w:r>
            <w:r w:rsidRPr="00D143F2">
              <w:rPr>
                <w:rFonts w:eastAsia="Times New Roman"/>
                <w:lang w:val="it-IT"/>
              </w:rPr>
              <w:br/>
              <w:t>Monterotondo</w:t>
            </w:r>
            <w:r w:rsidRPr="00D143F2">
              <w:rPr>
                <w:rFonts w:eastAsia="Times New Roman"/>
                <w:lang w:val="it-IT"/>
              </w:rPr>
              <w:br/>
            </w:r>
            <w:proofErr w:type="spellStart"/>
            <w:r w:rsidRPr="00D143F2">
              <w:rPr>
                <w:rFonts w:eastAsia="Times New Roman"/>
                <w:lang w:val="it-IT"/>
              </w:rPr>
              <w:t>Italy</w:t>
            </w:r>
            <w:proofErr w:type="spellEnd"/>
          </w:p>
        </w:tc>
        <w:tc>
          <w:tcPr>
            <w:tcW w:w="1701" w:type="dxa"/>
          </w:tcPr>
          <w:p w14:paraId="6FC5C1BD" w14:textId="77777777" w:rsidR="00C966A8" w:rsidRPr="00D143F2" w:rsidRDefault="00C966A8" w:rsidP="00D143F2">
            <w:pPr>
              <w:rPr>
                <w:rFonts w:eastAsia="Times New Roman"/>
                <w:lang w:val="it-IT"/>
              </w:rPr>
            </w:pPr>
            <w:bookmarkStart w:id="5" w:name="_Hlk120636926"/>
            <w:r w:rsidRPr="00D143F2">
              <w:rPr>
                <w:rFonts w:eastAsia="Times New Roman"/>
                <w:lang w:val="it-IT"/>
              </w:rPr>
              <w:t xml:space="preserve">Maurizio </w:t>
            </w:r>
          </w:p>
          <w:p w14:paraId="3CDB7815" w14:textId="343BA8C1" w:rsidR="00C966A8" w:rsidRPr="00D143F2" w:rsidRDefault="00C966A8" w:rsidP="00D143F2">
            <w:pPr>
              <w:rPr>
                <w:rFonts w:eastAsia="Times New Roman"/>
                <w:lang w:val="it-IT"/>
              </w:rPr>
            </w:pPr>
            <w:r w:rsidRPr="00D143F2">
              <w:rPr>
                <w:rFonts w:eastAsia="Times New Roman"/>
                <w:lang w:val="it-IT"/>
              </w:rPr>
              <w:t>DE STEFANO</w:t>
            </w:r>
            <w:bookmarkEnd w:id="5"/>
          </w:p>
        </w:tc>
      </w:tr>
      <w:tr w:rsidR="00C966A8" w:rsidRPr="00D143F2" w14:paraId="6C659BE1" w14:textId="4A9A8B08" w:rsidTr="0071330B">
        <w:tc>
          <w:tcPr>
            <w:tcW w:w="570" w:type="dxa"/>
            <w:hideMark/>
          </w:tcPr>
          <w:p w14:paraId="73E42EFD" w14:textId="77777777" w:rsidR="00C966A8" w:rsidRPr="00D143F2" w:rsidRDefault="00C966A8" w:rsidP="00D143F2">
            <w:pPr>
              <w:rPr>
                <w:rFonts w:eastAsia="Times New Roman"/>
              </w:rPr>
            </w:pPr>
            <w:r w:rsidRPr="00D143F2">
              <w:rPr>
                <w:rFonts w:eastAsia="Times New Roman"/>
              </w:rPr>
              <w:t>2.</w:t>
            </w:r>
          </w:p>
        </w:tc>
        <w:tc>
          <w:tcPr>
            <w:tcW w:w="1699" w:type="dxa"/>
            <w:hideMark/>
          </w:tcPr>
          <w:p w14:paraId="13EB9F4B" w14:textId="77777777" w:rsidR="00C966A8" w:rsidRPr="00D143F2" w:rsidRDefault="00C966A8" w:rsidP="00D143F2">
            <w:pPr>
              <w:rPr>
                <w:rFonts w:eastAsia="Times New Roman"/>
              </w:rPr>
            </w:pPr>
            <w:r w:rsidRPr="00D143F2">
              <w:rPr>
                <w:rFonts w:eastAsia="Times New Roman"/>
              </w:rPr>
              <w:t>51575/07</w:t>
            </w:r>
          </w:p>
        </w:tc>
        <w:tc>
          <w:tcPr>
            <w:tcW w:w="1659" w:type="dxa"/>
            <w:hideMark/>
          </w:tcPr>
          <w:p w14:paraId="514AABA1" w14:textId="77777777" w:rsidR="00C966A8" w:rsidRPr="00D143F2" w:rsidRDefault="00C966A8" w:rsidP="00D143F2">
            <w:pPr>
              <w:rPr>
                <w:rFonts w:eastAsia="Times New Roman"/>
                <w:lang w:val="it-IT"/>
              </w:rPr>
            </w:pPr>
            <w:r w:rsidRPr="00D143F2">
              <w:rPr>
                <w:rFonts w:eastAsia="Times New Roman"/>
                <w:lang w:val="it-IT"/>
              </w:rPr>
              <w:t xml:space="preserve">Casa nel Verde Seconda S.r.l. v. </w:t>
            </w:r>
            <w:proofErr w:type="spellStart"/>
            <w:r w:rsidRPr="00D143F2">
              <w:rPr>
                <w:rFonts w:eastAsia="Times New Roman"/>
                <w:lang w:val="it-IT"/>
              </w:rPr>
              <w:t>Italy</w:t>
            </w:r>
            <w:proofErr w:type="spellEnd"/>
          </w:p>
        </w:tc>
        <w:tc>
          <w:tcPr>
            <w:tcW w:w="1318" w:type="dxa"/>
            <w:hideMark/>
          </w:tcPr>
          <w:p w14:paraId="38A71FD9" w14:textId="77777777" w:rsidR="00C966A8" w:rsidRPr="00D143F2" w:rsidRDefault="00C966A8" w:rsidP="00D143F2">
            <w:pPr>
              <w:rPr>
                <w:rFonts w:eastAsia="Times New Roman"/>
              </w:rPr>
            </w:pPr>
            <w:r w:rsidRPr="00D143F2">
              <w:rPr>
                <w:rFonts w:eastAsia="Times New Roman"/>
              </w:rPr>
              <w:t>21/11/2007</w:t>
            </w:r>
          </w:p>
        </w:tc>
        <w:tc>
          <w:tcPr>
            <w:tcW w:w="2835" w:type="dxa"/>
            <w:hideMark/>
          </w:tcPr>
          <w:p w14:paraId="7E7D91EF" w14:textId="77777777" w:rsidR="00C966A8" w:rsidRPr="00D143F2" w:rsidRDefault="00C966A8" w:rsidP="00D143F2">
            <w:pPr>
              <w:rPr>
                <w:rFonts w:eastAsia="Times New Roman"/>
                <w:lang w:val="it-IT"/>
              </w:rPr>
            </w:pPr>
            <w:r w:rsidRPr="00D143F2">
              <w:rPr>
                <w:rFonts w:eastAsia="Times New Roman"/>
                <w:b/>
                <w:bCs/>
                <w:lang w:val="it-IT"/>
              </w:rPr>
              <w:t>CASA NEL VERDE SECONDA S.R.L.</w:t>
            </w:r>
            <w:r w:rsidRPr="00D143F2">
              <w:rPr>
                <w:rFonts w:eastAsia="Times New Roman"/>
                <w:lang w:val="it-IT"/>
              </w:rPr>
              <w:br/>
              <w:t>Mentana</w:t>
            </w:r>
            <w:r w:rsidRPr="00D143F2">
              <w:rPr>
                <w:rFonts w:eastAsia="Times New Roman"/>
                <w:lang w:val="it-IT"/>
              </w:rPr>
              <w:br/>
            </w:r>
            <w:proofErr w:type="spellStart"/>
            <w:r w:rsidRPr="00D143F2">
              <w:rPr>
                <w:rFonts w:eastAsia="Times New Roman"/>
                <w:lang w:val="it-IT"/>
              </w:rPr>
              <w:t>Italy</w:t>
            </w:r>
            <w:proofErr w:type="spellEnd"/>
          </w:p>
        </w:tc>
        <w:tc>
          <w:tcPr>
            <w:tcW w:w="1701" w:type="dxa"/>
          </w:tcPr>
          <w:p w14:paraId="2478B030" w14:textId="77777777" w:rsidR="00C966A8" w:rsidRPr="00D143F2" w:rsidRDefault="00C966A8" w:rsidP="00D143F2">
            <w:pPr>
              <w:rPr>
                <w:rFonts w:eastAsia="Times New Roman"/>
                <w:lang w:val="it-IT"/>
              </w:rPr>
            </w:pPr>
            <w:r w:rsidRPr="00D143F2">
              <w:rPr>
                <w:rFonts w:eastAsia="Times New Roman"/>
                <w:lang w:val="it-IT"/>
              </w:rPr>
              <w:t xml:space="preserve">Maurizio </w:t>
            </w:r>
          </w:p>
          <w:p w14:paraId="25D47DBC" w14:textId="450BE7A5" w:rsidR="00C966A8" w:rsidRPr="00D143F2" w:rsidRDefault="00C966A8" w:rsidP="00D143F2">
            <w:pPr>
              <w:rPr>
                <w:rFonts w:eastAsia="Times New Roman"/>
                <w:lang w:val="it-IT"/>
              </w:rPr>
            </w:pPr>
            <w:r w:rsidRPr="00D143F2">
              <w:rPr>
                <w:rFonts w:eastAsia="Times New Roman"/>
                <w:lang w:val="it-IT"/>
              </w:rPr>
              <w:t>DE STEFANO</w:t>
            </w:r>
          </w:p>
        </w:tc>
      </w:tr>
      <w:tr w:rsidR="00C966A8" w:rsidRPr="00D143F2" w14:paraId="2F572FA3" w14:textId="63E8683E" w:rsidTr="0071330B">
        <w:tc>
          <w:tcPr>
            <w:tcW w:w="570" w:type="dxa"/>
            <w:hideMark/>
          </w:tcPr>
          <w:p w14:paraId="1119F962" w14:textId="77777777" w:rsidR="00C966A8" w:rsidRPr="00D143F2" w:rsidRDefault="00C966A8" w:rsidP="00D143F2">
            <w:pPr>
              <w:rPr>
                <w:rFonts w:eastAsia="Times New Roman"/>
              </w:rPr>
            </w:pPr>
            <w:r w:rsidRPr="00D143F2">
              <w:rPr>
                <w:rFonts w:eastAsia="Times New Roman"/>
              </w:rPr>
              <w:t>3.</w:t>
            </w:r>
          </w:p>
        </w:tc>
        <w:tc>
          <w:tcPr>
            <w:tcW w:w="1699" w:type="dxa"/>
            <w:hideMark/>
          </w:tcPr>
          <w:p w14:paraId="2C80D4C8" w14:textId="77777777" w:rsidR="00C966A8" w:rsidRPr="00D143F2" w:rsidRDefault="00C966A8" w:rsidP="00D143F2">
            <w:pPr>
              <w:rPr>
                <w:rFonts w:eastAsia="Times New Roman"/>
              </w:rPr>
            </w:pPr>
            <w:r w:rsidRPr="00D143F2">
              <w:rPr>
                <w:rFonts w:eastAsia="Times New Roman"/>
              </w:rPr>
              <w:t>52071/07</w:t>
            </w:r>
          </w:p>
        </w:tc>
        <w:tc>
          <w:tcPr>
            <w:tcW w:w="1659" w:type="dxa"/>
            <w:hideMark/>
          </w:tcPr>
          <w:p w14:paraId="656FCEA0" w14:textId="7E951D6F" w:rsidR="00C966A8" w:rsidRPr="00D143F2" w:rsidRDefault="00C966A8" w:rsidP="00D143F2">
            <w:pPr>
              <w:rPr>
                <w:rFonts w:eastAsia="Times New Roman"/>
                <w:lang w:val="it-IT"/>
              </w:rPr>
            </w:pPr>
            <w:r w:rsidRPr="00D143F2">
              <w:rPr>
                <w:rFonts w:eastAsia="Times New Roman"/>
                <w:lang w:val="it-IT"/>
              </w:rPr>
              <w:t xml:space="preserve">Ma.L.BO. Edile </w:t>
            </w:r>
            <w:proofErr w:type="spellStart"/>
            <w:r w:rsidRPr="00D143F2">
              <w:rPr>
                <w:rFonts w:eastAsia="Times New Roman"/>
                <w:lang w:val="it-IT"/>
              </w:rPr>
              <w:t>A.r.l</w:t>
            </w:r>
            <w:proofErr w:type="spellEnd"/>
            <w:r w:rsidRPr="00D143F2">
              <w:rPr>
                <w:rFonts w:eastAsia="Times New Roman"/>
                <w:lang w:val="it-IT"/>
              </w:rPr>
              <w:t>. v.  </w:t>
            </w:r>
            <w:proofErr w:type="spellStart"/>
            <w:r w:rsidRPr="00D143F2">
              <w:rPr>
                <w:rFonts w:eastAsia="Times New Roman"/>
                <w:lang w:val="it-IT"/>
              </w:rPr>
              <w:t>Italy</w:t>
            </w:r>
            <w:proofErr w:type="spellEnd"/>
          </w:p>
        </w:tc>
        <w:tc>
          <w:tcPr>
            <w:tcW w:w="1318" w:type="dxa"/>
            <w:hideMark/>
          </w:tcPr>
          <w:p w14:paraId="0D56C564" w14:textId="77777777" w:rsidR="00C966A8" w:rsidRPr="00D143F2" w:rsidRDefault="00C966A8" w:rsidP="00D143F2">
            <w:pPr>
              <w:rPr>
                <w:rFonts w:eastAsia="Times New Roman"/>
              </w:rPr>
            </w:pPr>
            <w:r w:rsidRPr="00D143F2">
              <w:rPr>
                <w:rFonts w:eastAsia="Times New Roman"/>
              </w:rPr>
              <w:t>22/11/2007</w:t>
            </w:r>
          </w:p>
        </w:tc>
        <w:tc>
          <w:tcPr>
            <w:tcW w:w="2835" w:type="dxa"/>
            <w:hideMark/>
          </w:tcPr>
          <w:p w14:paraId="54DF4B11" w14:textId="77777777" w:rsidR="00C966A8" w:rsidRPr="00D143F2" w:rsidRDefault="00C966A8" w:rsidP="00D143F2">
            <w:pPr>
              <w:rPr>
                <w:rFonts w:eastAsia="Times New Roman"/>
                <w:lang w:val="it-IT"/>
              </w:rPr>
            </w:pPr>
            <w:r w:rsidRPr="00D143F2">
              <w:rPr>
                <w:rFonts w:eastAsia="Times New Roman"/>
                <w:b/>
                <w:bCs/>
                <w:lang w:val="it-IT"/>
              </w:rPr>
              <w:t>MA.L.BO. EDILE A.R.L.</w:t>
            </w:r>
            <w:r w:rsidRPr="00D143F2">
              <w:rPr>
                <w:rFonts w:eastAsia="Times New Roman"/>
                <w:lang w:val="it-IT"/>
              </w:rPr>
              <w:br/>
              <w:t>Monterotondo</w:t>
            </w:r>
            <w:r w:rsidRPr="00D143F2">
              <w:rPr>
                <w:rFonts w:eastAsia="Times New Roman"/>
                <w:lang w:val="it-IT"/>
              </w:rPr>
              <w:br/>
            </w:r>
            <w:proofErr w:type="spellStart"/>
            <w:r w:rsidRPr="00D143F2">
              <w:rPr>
                <w:rFonts w:eastAsia="Times New Roman"/>
                <w:lang w:val="it-IT"/>
              </w:rPr>
              <w:t>Italy</w:t>
            </w:r>
            <w:proofErr w:type="spellEnd"/>
          </w:p>
        </w:tc>
        <w:tc>
          <w:tcPr>
            <w:tcW w:w="1701" w:type="dxa"/>
          </w:tcPr>
          <w:p w14:paraId="74C28658" w14:textId="77777777" w:rsidR="00C966A8" w:rsidRPr="00D143F2" w:rsidRDefault="00C966A8" w:rsidP="00D143F2">
            <w:pPr>
              <w:rPr>
                <w:rFonts w:eastAsia="Times New Roman"/>
                <w:lang w:val="it-IT"/>
              </w:rPr>
            </w:pPr>
            <w:r w:rsidRPr="00D143F2">
              <w:rPr>
                <w:rFonts w:eastAsia="Times New Roman"/>
                <w:lang w:val="it-IT"/>
              </w:rPr>
              <w:t xml:space="preserve">Maurizio </w:t>
            </w:r>
          </w:p>
          <w:p w14:paraId="65F3EF48" w14:textId="65A8E344" w:rsidR="00C966A8" w:rsidRPr="00D143F2" w:rsidRDefault="00C966A8" w:rsidP="00D143F2">
            <w:pPr>
              <w:rPr>
                <w:rFonts w:eastAsia="Times New Roman"/>
                <w:lang w:val="it-IT"/>
              </w:rPr>
            </w:pPr>
            <w:r w:rsidRPr="00D143F2">
              <w:rPr>
                <w:rFonts w:eastAsia="Times New Roman"/>
                <w:lang w:val="it-IT"/>
              </w:rPr>
              <w:t>DE STEFANO</w:t>
            </w:r>
          </w:p>
        </w:tc>
      </w:tr>
    </w:tbl>
    <w:p w14:paraId="3CFAE331" w14:textId="77777777" w:rsidR="00C3775A" w:rsidRPr="00D143F2" w:rsidRDefault="00C3775A" w:rsidP="00D143F2">
      <w:bookmarkStart w:id="6" w:name="AppTableStart"/>
      <w:bookmarkEnd w:id="6"/>
    </w:p>
    <w:sectPr w:rsidR="00C3775A" w:rsidRPr="00D143F2" w:rsidSect="0076040F">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C1924" w14:textId="77777777" w:rsidR="005213E2" w:rsidRPr="005E55F6" w:rsidRDefault="005213E2">
      <w:r w:rsidRPr="005E55F6">
        <w:separator/>
      </w:r>
    </w:p>
  </w:endnote>
  <w:endnote w:type="continuationSeparator" w:id="0">
    <w:p w14:paraId="09A89CF6" w14:textId="77777777" w:rsidR="005213E2" w:rsidRPr="005E55F6" w:rsidRDefault="005213E2">
      <w:r w:rsidRPr="005E55F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E6CE1" w14:textId="1D77BD27" w:rsidR="001818B5" w:rsidRPr="005E55F6" w:rsidRDefault="005E55F6"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FE970" w14:textId="7A302B7C" w:rsidR="001818B5" w:rsidRPr="005E55F6" w:rsidRDefault="005E55F6" w:rsidP="000D61E7">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0DC31" w14:textId="31657705" w:rsidR="005E55F6" w:rsidRPr="00150BFA" w:rsidRDefault="005E55F6" w:rsidP="0020718E">
    <w:pPr>
      <w:jc w:val="center"/>
    </w:pPr>
    <w:r w:rsidRPr="005E55F6">
      <w:rPr>
        <w:noProof/>
        <w:lang w:val="en-US" w:eastAsia="ja-JP"/>
      </w:rPr>
      <w:drawing>
        <wp:inline distT="0" distB="0" distL="0" distR="0" wp14:anchorId="6DDFD7AD" wp14:editId="3F61E941">
          <wp:extent cx="771525" cy="619125"/>
          <wp:effectExtent l="0" t="0" r="9525" b="9525"/>
          <wp:docPr id="5" name="Picture 5"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1A017B85" w14:textId="2A3E418D" w:rsidR="00F05C7B" w:rsidRPr="005E55F6" w:rsidRDefault="005213E2" w:rsidP="002E2C77">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800D5" w14:textId="77777777" w:rsidR="005213E2" w:rsidRPr="005E55F6" w:rsidRDefault="005213E2">
      <w:r w:rsidRPr="005E55F6">
        <w:separator/>
      </w:r>
    </w:p>
  </w:footnote>
  <w:footnote w:type="continuationSeparator" w:id="0">
    <w:p w14:paraId="7046064B" w14:textId="77777777" w:rsidR="005213E2" w:rsidRPr="005E55F6" w:rsidRDefault="005213E2">
      <w:r w:rsidRPr="005E55F6">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C80A" w14:textId="5F2EB39C" w:rsidR="00F05C7B" w:rsidRPr="005E55F6" w:rsidRDefault="005E55F6" w:rsidP="0076040F">
    <w:pPr>
      <w:pStyle w:val="JuHeader"/>
    </w:pPr>
    <w:r>
      <w:t>CASA NEL VERDE PRIMA S.R.L. v. ITALY</w:t>
    </w:r>
    <w:r w:rsidRPr="005E55F6">
      <w:rPr>
        <w:noProof/>
      </w:rPr>
      <w:t xml:space="preserve"> AND OTHER APPLICATIONS</w:t>
    </w:r>
    <w:r w:rsidR="006267D3" w:rsidRPr="005E55F6">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88CA3" w14:textId="1D6BD119" w:rsidR="00F05C7B" w:rsidRPr="005E55F6" w:rsidRDefault="005E55F6" w:rsidP="000D61E7">
    <w:pPr>
      <w:pStyle w:val="JuHeader"/>
    </w:pPr>
    <w:r>
      <w:t>CASA NEL VERDE PRIMA S.R.L. v. ITALY</w:t>
    </w:r>
    <w:r w:rsidRPr="005E55F6">
      <w:rPr>
        <w:noProof/>
      </w:rPr>
      <w:t xml:space="preserve"> AND OTHER APPLICATIONS</w:t>
    </w:r>
    <w:r w:rsidR="00C91E76">
      <w:rPr>
        <w:noProof/>
      </w:rPr>
      <w:t xml:space="preserve"> </w:t>
    </w:r>
    <w:r w:rsidR="006267D3" w:rsidRPr="005E55F6">
      <w:t>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22177" w14:textId="032F8273" w:rsidR="005E55F6" w:rsidRPr="00A45145" w:rsidRDefault="005E55F6" w:rsidP="00A45145">
    <w:pPr>
      <w:jc w:val="center"/>
    </w:pPr>
    <w:r>
      <w:rPr>
        <w:noProof/>
        <w:lang w:val="en-US" w:eastAsia="ja-JP"/>
      </w:rPr>
      <w:drawing>
        <wp:inline distT="0" distB="0" distL="0" distR="0" wp14:anchorId="103162AC" wp14:editId="51A31515">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FB74755" w14:textId="7D460B61" w:rsidR="00F05C7B" w:rsidRPr="005E55F6" w:rsidRDefault="005213E2" w:rsidP="00EA1004">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56B9429C"/>
    <w:multiLevelType w:val="multilevel"/>
    <w:tmpl w:val="B7886602"/>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8"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7"/>
  </w:num>
  <w:num w:numId="2">
    <w:abstractNumId w:val="14"/>
  </w:num>
  <w:num w:numId="3">
    <w:abstractNumId w:val="12"/>
  </w:num>
  <w:num w:numId="4">
    <w:abstractNumId w:val="11"/>
  </w:num>
  <w:num w:numId="5">
    <w:abstractNumId w:val="18"/>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3"/>
  </w:num>
  <w:num w:numId="17">
    <w:abstractNumId w:val="16"/>
  </w:num>
  <w:num w:numId="18">
    <w:abstractNumId w:val="15"/>
  </w:num>
  <w:num w:numId="19">
    <w:abstractNumId w:val="16"/>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Application" w:val="2"/>
    <w:docVar w:name="NBEMMDOC" w:val="0"/>
    <w:docVar w:name="Plural" w:val="3"/>
    <w:docVar w:name="SignForeName" w:val="0"/>
    <w:docVar w:name="SndCaseNumber" w:val="Error!Nodocumentvariablesupplied."/>
  </w:docVars>
  <w:rsids>
    <w:rsidRoot w:val="005E55F6"/>
    <w:rsid w:val="00095FD8"/>
    <w:rsid w:val="000B1FA9"/>
    <w:rsid w:val="000D61E7"/>
    <w:rsid w:val="000E3A89"/>
    <w:rsid w:val="00132029"/>
    <w:rsid w:val="00144EBC"/>
    <w:rsid w:val="001C625C"/>
    <w:rsid w:val="001D1233"/>
    <w:rsid w:val="00223591"/>
    <w:rsid w:val="002A7443"/>
    <w:rsid w:val="003B50D7"/>
    <w:rsid w:val="003E3C60"/>
    <w:rsid w:val="00452087"/>
    <w:rsid w:val="0045471B"/>
    <w:rsid w:val="00464268"/>
    <w:rsid w:val="00497CA1"/>
    <w:rsid w:val="004A4C71"/>
    <w:rsid w:val="004B4E73"/>
    <w:rsid w:val="004D5640"/>
    <w:rsid w:val="005213E2"/>
    <w:rsid w:val="0059609C"/>
    <w:rsid w:val="005E55F6"/>
    <w:rsid w:val="005E56C2"/>
    <w:rsid w:val="005F11CB"/>
    <w:rsid w:val="006262FA"/>
    <w:rsid w:val="006267D3"/>
    <w:rsid w:val="006300E9"/>
    <w:rsid w:val="00653EF4"/>
    <w:rsid w:val="00656B81"/>
    <w:rsid w:val="00675696"/>
    <w:rsid w:val="006D4D63"/>
    <w:rsid w:val="006E123B"/>
    <w:rsid w:val="0071330B"/>
    <w:rsid w:val="007907C0"/>
    <w:rsid w:val="007A74FC"/>
    <w:rsid w:val="007B2364"/>
    <w:rsid w:val="00812D10"/>
    <w:rsid w:val="008D10E4"/>
    <w:rsid w:val="008F0A92"/>
    <w:rsid w:val="008F7189"/>
    <w:rsid w:val="00956B2A"/>
    <w:rsid w:val="0096293E"/>
    <w:rsid w:val="009656DE"/>
    <w:rsid w:val="009B6F49"/>
    <w:rsid w:val="009C21E8"/>
    <w:rsid w:val="009E01FB"/>
    <w:rsid w:val="00AA5AEE"/>
    <w:rsid w:val="00AC58E5"/>
    <w:rsid w:val="00AE31FF"/>
    <w:rsid w:val="00B140D3"/>
    <w:rsid w:val="00B42DD3"/>
    <w:rsid w:val="00BD1692"/>
    <w:rsid w:val="00C3775A"/>
    <w:rsid w:val="00C42C12"/>
    <w:rsid w:val="00C8038F"/>
    <w:rsid w:val="00C91E76"/>
    <w:rsid w:val="00C966A8"/>
    <w:rsid w:val="00CB3BD9"/>
    <w:rsid w:val="00D143F2"/>
    <w:rsid w:val="00D30CF8"/>
    <w:rsid w:val="00D415D6"/>
    <w:rsid w:val="00DB6354"/>
    <w:rsid w:val="00E5464B"/>
    <w:rsid w:val="00EE38CA"/>
    <w:rsid w:val="00F0534F"/>
    <w:rsid w:val="00F10BE9"/>
    <w:rsid w:val="00F24AB9"/>
    <w:rsid w:val="00FC2655"/>
    <w:rsid w:val="00FF54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2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D143F2"/>
    <w:rPr>
      <w:sz w:val="24"/>
      <w:szCs w:val="24"/>
      <w:lang w:val="en-GB"/>
    </w:rPr>
  </w:style>
  <w:style w:type="paragraph" w:styleId="Titolo1">
    <w:name w:val="heading 1"/>
    <w:basedOn w:val="Normale"/>
    <w:next w:val="Normale"/>
    <w:link w:val="Titolo1Carattere"/>
    <w:uiPriority w:val="98"/>
    <w:semiHidden/>
    <w:rsid w:val="00D143F2"/>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D143F2"/>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D143F2"/>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D143F2"/>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D143F2"/>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D143F2"/>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D143F2"/>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D143F2"/>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D143F2"/>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aliases w:val="_Signature"/>
    <w:basedOn w:val="Normale"/>
    <w:next w:val="JuPara"/>
    <w:uiPriority w:val="31"/>
    <w:qFormat/>
    <w:rsid w:val="00D143F2"/>
    <w:pPr>
      <w:tabs>
        <w:tab w:val="center" w:pos="1418"/>
        <w:tab w:val="center" w:pos="5954"/>
      </w:tabs>
      <w:spacing w:before="720"/>
    </w:pPr>
  </w:style>
  <w:style w:type="paragraph" w:customStyle="1" w:styleId="JuPara">
    <w:name w:val="Ju_Para"/>
    <w:aliases w:val="_Para"/>
    <w:basedOn w:val="NormalJustified"/>
    <w:link w:val="JuParaChar"/>
    <w:uiPriority w:val="4"/>
    <w:qFormat/>
    <w:rsid w:val="00D143F2"/>
    <w:pPr>
      <w:ind w:firstLine="284"/>
    </w:pPr>
  </w:style>
  <w:style w:type="character" w:styleId="Numeropagina">
    <w:name w:val="page number"/>
    <w:uiPriority w:val="98"/>
    <w:semiHidden/>
    <w:rsid w:val="00D143F2"/>
    <w:rPr>
      <w:sz w:val="18"/>
    </w:rPr>
  </w:style>
  <w:style w:type="character" w:styleId="Rimandocommento">
    <w:name w:val="annotation reference"/>
    <w:basedOn w:val="Carpredefinitoparagrafo"/>
    <w:uiPriority w:val="98"/>
    <w:semiHidden/>
    <w:rsid w:val="00D143F2"/>
    <w:rPr>
      <w:sz w:val="16"/>
      <w:szCs w:val="16"/>
    </w:rPr>
  </w:style>
  <w:style w:type="paragraph" w:styleId="Testocommento">
    <w:name w:val="annotation text"/>
    <w:basedOn w:val="Normale"/>
    <w:link w:val="TestocommentoCarattere"/>
    <w:uiPriority w:val="98"/>
    <w:semiHidden/>
    <w:rsid w:val="00D143F2"/>
    <w:rPr>
      <w:sz w:val="20"/>
      <w:szCs w:val="20"/>
    </w:rPr>
  </w:style>
  <w:style w:type="character" w:customStyle="1" w:styleId="TestocommentoCarattere">
    <w:name w:val="Testo commento Carattere"/>
    <w:basedOn w:val="Carpredefinitoparagrafo"/>
    <w:link w:val="Testocommento"/>
    <w:uiPriority w:val="98"/>
    <w:semiHidden/>
    <w:rsid w:val="00D143F2"/>
    <w:rPr>
      <w:sz w:val="20"/>
      <w:szCs w:val="20"/>
      <w:lang w:val="en-GB"/>
    </w:rPr>
  </w:style>
  <w:style w:type="paragraph" w:customStyle="1" w:styleId="DecHTitle">
    <w:name w:val="Dec_H_Title"/>
    <w:aliases w:val="_Title_1"/>
    <w:basedOn w:val="JuPara"/>
    <w:next w:val="JuPara"/>
    <w:uiPriority w:val="38"/>
    <w:qFormat/>
    <w:rsid w:val="00D143F2"/>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D143F2"/>
    <w:pPr>
      <w:keepNext/>
      <w:keepLines/>
      <w:spacing w:after="280"/>
      <w:ind w:firstLine="0"/>
      <w:jc w:val="center"/>
    </w:pPr>
    <w:rPr>
      <w:rFonts w:asciiTheme="majorHAnsi" w:hAnsiTheme="majorHAnsi"/>
    </w:rPr>
  </w:style>
  <w:style w:type="paragraph" w:customStyle="1" w:styleId="JuTitle">
    <w:name w:val="Ju_Title"/>
    <w:aliases w:val="_Title_2"/>
    <w:basedOn w:val="Normale"/>
    <w:next w:val="JuPara"/>
    <w:uiPriority w:val="38"/>
    <w:qFormat/>
    <w:rsid w:val="00D143F2"/>
    <w:pPr>
      <w:keepNext/>
      <w:keepLines/>
      <w:spacing w:before="1320" w:after="280"/>
      <w:contextualSpacing/>
      <w:jc w:val="center"/>
    </w:pPr>
    <w:rPr>
      <w:b/>
    </w:rPr>
  </w:style>
  <w:style w:type="paragraph" w:customStyle="1" w:styleId="JuHeader">
    <w:name w:val="Ju_Header"/>
    <w:aliases w:val="_Header"/>
    <w:basedOn w:val="Intestazione"/>
    <w:uiPriority w:val="29"/>
    <w:qFormat/>
    <w:rsid w:val="00D143F2"/>
    <w:pPr>
      <w:tabs>
        <w:tab w:val="clear" w:pos="4536"/>
        <w:tab w:val="clear" w:pos="9072"/>
      </w:tabs>
      <w:jc w:val="center"/>
    </w:pPr>
    <w:rPr>
      <w:sz w:val="18"/>
    </w:rPr>
  </w:style>
  <w:style w:type="paragraph" w:styleId="Intestazione">
    <w:name w:val="header"/>
    <w:basedOn w:val="Normale"/>
    <w:link w:val="IntestazioneCarattere"/>
    <w:uiPriority w:val="98"/>
    <w:semiHidden/>
    <w:rsid w:val="00D143F2"/>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D143F2"/>
    <w:rPr>
      <w:sz w:val="24"/>
      <w:szCs w:val="24"/>
      <w:lang w:val="en-GB"/>
    </w:rPr>
  </w:style>
  <w:style w:type="paragraph" w:styleId="Testofumetto">
    <w:name w:val="Balloon Text"/>
    <w:basedOn w:val="Normale"/>
    <w:link w:val="TestofumettoCarattere"/>
    <w:uiPriority w:val="98"/>
    <w:semiHidden/>
    <w:rsid w:val="00D143F2"/>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D143F2"/>
    <w:rPr>
      <w:rFonts w:ascii="Tahoma" w:hAnsi="Tahoma" w:cs="Tahoma"/>
      <w:sz w:val="16"/>
      <w:szCs w:val="16"/>
      <w:lang w:val="en-GB"/>
    </w:rPr>
  </w:style>
  <w:style w:type="paragraph" w:customStyle="1" w:styleId="DummyStyle">
    <w:name w:val="Dummy_Style"/>
    <w:aliases w:val="_Dummy"/>
    <w:basedOn w:val="Normale"/>
    <w:semiHidden/>
    <w:qFormat/>
    <w:rsid w:val="00D143F2"/>
    <w:rPr>
      <w:color w:val="00B050"/>
      <w:sz w:val="22"/>
    </w:rPr>
  </w:style>
  <w:style w:type="paragraph" w:customStyle="1" w:styleId="NormalJustified">
    <w:name w:val="Normal_Justified"/>
    <w:basedOn w:val="Normale"/>
    <w:semiHidden/>
    <w:rsid w:val="00D143F2"/>
    <w:pPr>
      <w:jc w:val="both"/>
    </w:pPr>
  </w:style>
  <w:style w:type="paragraph" w:customStyle="1" w:styleId="JuQuot">
    <w:name w:val="Ju_Quot"/>
    <w:aliases w:val="_Quote"/>
    <w:basedOn w:val="NormalJustified"/>
    <w:uiPriority w:val="20"/>
    <w:qFormat/>
    <w:rsid w:val="00D143F2"/>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D143F2"/>
    <w:pPr>
      <w:keepNext/>
      <w:keepLines/>
      <w:tabs>
        <w:tab w:val="right" w:pos="7938"/>
      </w:tabs>
      <w:ind w:firstLine="0"/>
      <w:jc w:val="center"/>
    </w:pPr>
    <w:rPr>
      <w:i/>
    </w:rPr>
  </w:style>
  <w:style w:type="table" w:customStyle="1" w:styleId="ECHRDNTable">
    <w:name w:val="ECHR_DN_Table"/>
    <w:basedOn w:val="Tabellanormale"/>
    <w:uiPriority w:val="99"/>
    <w:rsid w:val="00D143F2"/>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essunelenco"/>
    <w:rsid w:val="00D143F2"/>
    <w:pPr>
      <w:numPr>
        <w:numId w:val="15"/>
      </w:numPr>
    </w:pPr>
  </w:style>
  <w:style w:type="numbering" w:customStyle="1" w:styleId="ECHRA1StyleList">
    <w:name w:val="ECHR_A1_Style_List"/>
    <w:basedOn w:val="Nessunelenco"/>
    <w:uiPriority w:val="99"/>
    <w:rsid w:val="00D143F2"/>
    <w:pPr>
      <w:numPr>
        <w:numId w:val="16"/>
      </w:numPr>
    </w:pPr>
  </w:style>
  <w:style w:type="paragraph" w:customStyle="1" w:styleId="JuHArticle">
    <w:name w:val="Ju_H_Article"/>
    <w:aliases w:val="_Title_Quote"/>
    <w:basedOn w:val="Normale"/>
    <w:next w:val="JuQuot"/>
    <w:uiPriority w:val="19"/>
    <w:qFormat/>
    <w:rsid w:val="00D143F2"/>
    <w:pPr>
      <w:keepNext/>
      <w:spacing w:before="100" w:beforeAutospacing="1" w:after="120"/>
      <w:contextualSpacing/>
      <w:jc w:val="center"/>
    </w:pPr>
    <w:rPr>
      <w:b/>
      <w:sz w:val="20"/>
    </w:rPr>
  </w:style>
  <w:style w:type="numbering" w:customStyle="1" w:styleId="ECHRA1StyleNumberedList">
    <w:name w:val="ECHR_A1_Style_Numbered_List"/>
    <w:basedOn w:val="Nessunelenco"/>
    <w:rsid w:val="00D143F2"/>
    <w:pPr>
      <w:numPr>
        <w:numId w:val="17"/>
      </w:numPr>
    </w:pPr>
  </w:style>
  <w:style w:type="table" w:customStyle="1" w:styleId="ECHRHeaderTable">
    <w:name w:val="ECHR_Header_Table"/>
    <w:basedOn w:val="Tabellanormale"/>
    <w:uiPriority w:val="99"/>
    <w:rsid w:val="00D143F2"/>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Titolo1"/>
    <w:next w:val="JuPara"/>
    <w:uiPriority w:val="17"/>
    <w:qFormat/>
    <w:rsid w:val="00D143F2"/>
    <w:pPr>
      <w:keepNext/>
      <w:keepLines/>
      <w:numPr>
        <w:numId w:val="20"/>
      </w:numPr>
      <w:spacing w:before="100" w:beforeAutospacing="1" w:after="240"/>
      <w:contextualSpacing w:val="0"/>
      <w:jc w:val="both"/>
    </w:pPr>
    <w:rPr>
      <w:b w:val="0"/>
      <w:caps/>
      <w:color w:val="auto"/>
    </w:rPr>
  </w:style>
  <w:style w:type="paragraph" w:customStyle="1" w:styleId="JuInitialled">
    <w:name w:val="Ju_Initialled"/>
    <w:aliases w:val="_Right"/>
    <w:basedOn w:val="Normale"/>
    <w:uiPriority w:val="30"/>
    <w:qFormat/>
    <w:rsid w:val="00D143F2"/>
    <w:pPr>
      <w:tabs>
        <w:tab w:val="center" w:pos="6407"/>
      </w:tabs>
      <w:spacing w:before="720"/>
      <w:jc w:val="right"/>
    </w:pPr>
  </w:style>
  <w:style w:type="table" w:customStyle="1" w:styleId="ECHRHeaderTableReduced">
    <w:name w:val="ECHR_Header_Table_Reduced"/>
    <w:basedOn w:val="Tabellanormale"/>
    <w:uiPriority w:val="99"/>
    <w:rsid w:val="00D143F2"/>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D143F2"/>
    <w:rPr>
      <w:caps w:val="0"/>
      <w:smallCaps/>
    </w:rPr>
  </w:style>
  <w:style w:type="character" w:customStyle="1" w:styleId="JuITMark">
    <w:name w:val="Ju_ITMark"/>
    <w:aliases w:val="_ITMark"/>
    <w:basedOn w:val="Carpredefinitoparagrafo"/>
    <w:uiPriority w:val="54"/>
    <w:qFormat/>
    <w:rsid w:val="00D143F2"/>
    <w:rPr>
      <w:vanish w:val="0"/>
      <w:color w:val="auto"/>
      <w:sz w:val="14"/>
      <w:bdr w:val="none" w:sz="0" w:space="0" w:color="auto"/>
      <w:shd w:val="clear" w:color="auto" w:fill="BEE5FF" w:themeFill="background1" w:themeFillTint="33"/>
    </w:rPr>
  </w:style>
  <w:style w:type="table" w:customStyle="1" w:styleId="ECHRTable2019">
    <w:name w:val="ECHR_Table_2019"/>
    <w:basedOn w:val="Tabellanormale"/>
    <w:uiPriority w:val="99"/>
    <w:rsid w:val="00D143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e"/>
    <w:next w:val="Normale"/>
    <w:uiPriority w:val="32"/>
    <w:qFormat/>
    <w:rsid w:val="00D143F2"/>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D143F2"/>
    <w:pPr>
      <w:keepNext/>
      <w:keepLines/>
      <w:numPr>
        <w:ilvl w:val="1"/>
        <w:numId w:val="20"/>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D143F2"/>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D143F2"/>
    <w:pPr>
      <w:keepNext/>
      <w:keepLines/>
      <w:numPr>
        <w:ilvl w:val="2"/>
        <w:numId w:val="20"/>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D143F2"/>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D143F2"/>
    <w:pPr>
      <w:keepNext/>
      <w:keepLines/>
      <w:numPr>
        <w:ilvl w:val="3"/>
        <w:numId w:val="20"/>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D143F2"/>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D143F2"/>
    <w:pPr>
      <w:keepNext/>
      <w:keepLines/>
      <w:numPr>
        <w:ilvl w:val="4"/>
        <w:numId w:val="20"/>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D143F2"/>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D143F2"/>
    <w:pPr>
      <w:keepNext/>
      <w:keepLines/>
      <w:numPr>
        <w:ilvl w:val="5"/>
        <w:numId w:val="20"/>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D143F2"/>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D143F2"/>
    <w:pPr>
      <w:keepNext/>
      <w:keepLines/>
      <w:numPr>
        <w:ilvl w:val="6"/>
        <w:numId w:val="20"/>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D143F2"/>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D143F2"/>
    <w:pPr>
      <w:keepNext/>
      <w:keepLines/>
      <w:numPr>
        <w:ilvl w:val="7"/>
        <w:numId w:val="20"/>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D143F2"/>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D143F2"/>
    <w:pPr>
      <w:keepNext/>
      <w:keepLines/>
      <w:spacing w:before="240" w:after="240"/>
      <w:ind w:firstLine="284"/>
    </w:pPr>
  </w:style>
  <w:style w:type="table" w:customStyle="1" w:styleId="ECHRTableBoxHeader">
    <w:name w:val="ECHR_Table_Box_Header"/>
    <w:basedOn w:val="Tabellanormale"/>
    <w:rsid w:val="00D143F2"/>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e"/>
    <w:uiPriority w:val="32"/>
    <w:qFormat/>
    <w:rsid w:val="00D143F2"/>
    <w:pPr>
      <w:tabs>
        <w:tab w:val="left" w:pos="567"/>
        <w:tab w:val="left" w:pos="1134"/>
      </w:tabs>
    </w:pPr>
  </w:style>
  <w:style w:type="paragraph" w:customStyle="1" w:styleId="JuList">
    <w:name w:val="Ju_List"/>
    <w:aliases w:val="_List_1"/>
    <w:basedOn w:val="NormalJustified"/>
    <w:uiPriority w:val="23"/>
    <w:qFormat/>
    <w:rsid w:val="00D143F2"/>
    <w:pPr>
      <w:numPr>
        <w:numId w:val="21"/>
      </w:numPr>
      <w:spacing w:before="280" w:after="60"/>
    </w:pPr>
  </w:style>
  <w:style w:type="paragraph" w:customStyle="1" w:styleId="JuLista">
    <w:name w:val="Ju_List_a"/>
    <w:aliases w:val="_List_2"/>
    <w:basedOn w:val="NormalJustified"/>
    <w:uiPriority w:val="23"/>
    <w:rsid w:val="00D143F2"/>
    <w:pPr>
      <w:numPr>
        <w:ilvl w:val="1"/>
        <w:numId w:val="21"/>
      </w:numPr>
    </w:pPr>
  </w:style>
  <w:style w:type="paragraph" w:customStyle="1" w:styleId="JuListi">
    <w:name w:val="Ju_List_i"/>
    <w:aliases w:val="_List_3"/>
    <w:basedOn w:val="NormalJustified"/>
    <w:uiPriority w:val="23"/>
    <w:rsid w:val="00D143F2"/>
    <w:pPr>
      <w:numPr>
        <w:ilvl w:val="2"/>
        <w:numId w:val="21"/>
      </w:numPr>
    </w:pPr>
  </w:style>
  <w:style w:type="table" w:customStyle="1" w:styleId="ECHRTableFax">
    <w:name w:val="ECHR_Table_Fax"/>
    <w:basedOn w:val="Tabellanormale"/>
    <w:uiPriority w:val="99"/>
    <w:rsid w:val="00D143F2"/>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ellanormale"/>
    <w:uiPriority w:val="99"/>
    <w:rsid w:val="00D143F2"/>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ellanormale"/>
    <w:uiPriority w:val="99"/>
    <w:rsid w:val="00D143F2"/>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Titolo8Carattere">
    <w:name w:val="Titolo 8 Carattere"/>
    <w:basedOn w:val="Carpredefinitoparagrafo"/>
    <w:link w:val="Titolo8"/>
    <w:uiPriority w:val="98"/>
    <w:semiHidden/>
    <w:rsid w:val="00D143F2"/>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D143F2"/>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D143F2"/>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D143F2"/>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D143F2"/>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D143F2"/>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D143F2"/>
    <w:rPr>
      <w:b/>
      <w:bCs/>
    </w:rPr>
  </w:style>
  <w:style w:type="character" w:styleId="Enfasicorsivo">
    <w:name w:val="Emphasis"/>
    <w:uiPriority w:val="98"/>
    <w:semiHidden/>
    <w:qFormat/>
    <w:rsid w:val="00D143F2"/>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D143F2"/>
  </w:style>
  <w:style w:type="character" w:customStyle="1" w:styleId="NessunaspaziaturaCarattere">
    <w:name w:val="Nessuna spaziatura Carattere"/>
    <w:basedOn w:val="Carpredefinitoparagrafo"/>
    <w:link w:val="Nessunaspaziatura"/>
    <w:uiPriority w:val="98"/>
    <w:semiHidden/>
    <w:rsid w:val="00D143F2"/>
    <w:rPr>
      <w:sz w:val="24"/>
      <w:szCs w:val="24"/>
      <w:lang w:val="en-GB"/>
    </w:rPr>
  </w:style>
  <w:style w:type="paragraph" w:styleId="Paragrafoelenco">
    <w:name w:val="List Paragraph"/>
    <w:basedOn w:val="Normale"/>
    <w:uiPriority w:val="98"/>
    <w:semiHidden/>
    <w:qFormat/>
    <w:rsid w:val="00D143F2"/>
    <w:pPr>
      <w:ind w:left="720"/>
      <w:contextualSpacing/>
    </w:pPr>
  </w:style>
  <w:style w:type="paragraph" w:styleId="Citazione">
    <w:name w:val="Quote"/>
    <w:basedOn w:val="Normale"/>
    <w:next w:val="Normale"/>
    <w:link w:val="CitazioneCarattere"/>
    <w:uiPriority w:val="98"/>
    <w:semiHidden/>
    <w:qFormat/>
    <w:rsid w:val="00D143F2"/>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D143F2"/>
    <w:rPr>
      <w:i/>
      <w:iCs/>
      <w:sz w:val="24"/>
      <w:szCs w:val="24"/>
      <w:lang w:val="en-GB" w:bidi="en-US"/>
    </w:rPr>
  </w:style>
  <w:style w:type="paragraph" w:styleId="Citazioneintensa">
    <w:name w:val="Intense Quote"/>
    <w:basedOn w:val="Normale"/>
    <w:next w:val="Normale"/>
    <w:link w:val="CitazioneintensaCarattere"/>
    <w:uiPriority w:val="98"/>
    <w:semiHidden/>
    <w:qFormat/>
    <w:rsid w:val="00D143F2"/>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D143F2"/>
    <w:rPr>
      <w:b/>
      <w:bCs/>
      <w:i/>
      <w:iCs/>
      <w:sz w:val="24"/>
      <w:szCs w:val="24"/>
      <w:lang w:val="en-GB" w:bidi="en-US"/>
    </w:rPr>
  </w:style>
  <w:style w:type="character" w:styleId="Enfasidelicata">
    <w:name w:val="Subtle Emphasis"/>
    <w:uiPriority w:val="98"/>
    <w:semiHidden/>
    <w:qFormat/>
    <w:rsid w:val="00D143F2"/>
    <w:rPr>
      <w:i/>
      <w:iCs/>
    </w:rPr>
  </w:style>
  <w:style w:type="character" w:styleId="Enfasiintensa">
    <w:name w:val="Intense Emphasis"/>
    <w:uiPriority w:val="98"/>
    <w:semiHidden/>
    <w:qFormat/>
    <w:rsid w:val="00D143F2"/>
    <w:rPr>
      <w:b/>
      <w:bCs/>
    </w:rPr>
  </w:style>
  <w:style w:type="character" w:styleId="Riferimentodelicato">
    <w:name w:val="Subtle Reference"/>
    <w:uiPriority w:val="98"/>
    <w:semiHidden/>
    <w:qFormat/>
    <w:rsid w:val="00D143F2"/>
    <w:rPr>
      <w:smallCaps/>
    </w:rPr>
  </w:style>
  <w:style w:type="character" w:styleId="Riferimentointenso">
    <w:name w:val="Intense Reference"/>
    <w:uiPriority w:val="98"/>
    <w:semiHidden/>
    <w:qFormat/>
    <w:rsid w:val="00D143F2"/>
    <w:rPr>
      <w:smallCaps/>
      <w:spacing w:val="5"/>
      <w:u w:val="single"/>
    </w:rPr>
  </w:style>
  <w:style w:type="character" w:styleId="Titolodellibro">
    <w:name w:val="Book Title"/>
    <w:uiPriority w:val="98"/>
    <w:semiHidden/>
    <w:qFormat/>
    <w:rsid w:val="00D143F2"/>
    <w:rPr>
      <w:i/>
      <w:iCs/>
      <w:smallCaps/>
      <w:spacing w:val="5"/>
    </w:rPr>
  </w:style>
  <w:style w:type="paragraph" w:styleId="Titolosommario">
    <w:name w:val="TOC Heading"/>
    <w:basedOn w:val="Normale"/>
    <w:next w:val="Normale"/>
    <w:uiPriority w:val="98"/>
    <w:semiHidden/>
    <w:qFormat/>
    <w:rsid w:val="00D143F2"/>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D143F2"/>
    <w:pPr>
      <w:numPr>
        <w:numId w:val="2"/>
      </w:numPr>
    </w:pPr>
  </w:style>
  <w:style w:type="numbering" w:styleId="1ai">
    <w:name w:val="Outline List 1"/>
    <w:basedOn w:val="Nessunelenco"/>
    <w:uiPriority w:val="99"/>
    <w:semiHidden/>
    <w:unhideWhenUsed/>
    <w:rsid w:val="00D143F2"/>
    <w:pPr>
      <w:numPr>
        <w:numId w:val="3"/>
      </w:numPr>
    </w:pPr>
  </w:style>
  <w:style w:type="numbering" w:styleId="ArticoloSezione">
    <w:name w:val="Outline List 3"/>
    <w:basedOn w:val="Nessunelenco"/>
    <w:uiPriority w:val="99"/>
    <w:semiHidden/>
    <w:unhideWhenUsed/>
    <w:rsid w:val="00D143F2"/>
    <w:pPr>
      <w:numPr>
        <w:numId w:val="4"/>
      </w:numPr>
    </w:pPr>
  </w:style>
  <w:style w:type="paragraph" w:styleId="Bibliografia">
    <w:name w:val="Bibliography"/>
    <w:basedOn w:val="Normale"/>
    <w:next w:val="Normale"/>
    <w:uiPriority w:val="98"/>
    <w:semiHidden/>
    <w:rsid w:val="00D143F2"/>
  </w:style>
  <w:style w:type="paragraph" w:styleId="Testodelblocco">
    <w:name w:val="Block Text"/>
    <w:basedOn w:val="Normale"/>
    <w:uiPriority w:val="98"/>
    <w:semiHidden/>
    <w:rsid w:val="00D143F2"/>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D143F2"/>
    <w:pPr>
      <w:spacing w:after="120"/>
    </w:pPr>
  </w:style>
  <w:style w:type="character" w:customStyle="1" w:styleId="CorpotestoCarattere">
    <w:name w:val="Corpo testo Carattere"/>
    <w:basedOn w:val="Carpredefinitoparagrafo"/>
    <w:link w:val="Corpotesto"/>
    <w:uiPriority w:val="98"/>
    <w:semiHidden/>
    <w:rsid w:val="00D143F2"/>
    <w:rPr>
      <w:sz w:val="24"/>
      <w:szCs w:val="24"/>
      <w:lang w:val="en-GB"/>
    </w:rPr>
  </w:style>
  <w:style w:type="paragraph" w:styleId="Corpodeltesto2">
    <w:name w:val="Body Text 2"/>
    <w:basedOn w:val="Normale"/>
    <w:link w:val="Corpodeltesto2Carattere"/>
    <w:uiPriority w:val="98"/>
    <w:semiHidden/>
    <w:rsid w:val="00D143F2"/>
    <w:pPr>
      <w:spacing w:after="120" w:line="480" w:lineRule="auto"/>
    </w:pPr>
  </w:style>
  <w:style w:type="character" w:customStyle="1" w:styleId="Corpodeltesto2Carattere">
    <w:name w:val="Corpo del testo 2 Carattere"/>
    <w:basedOn w:val="Carpredefinitoparagrafo"/>
    <w:link w:val="Corpodeltesto2"/>
    <w:uiPriority w:val="98"/>
    <w:semiHidden/>
    <w:rsid w:val="00D143F2"/>
    <w:rPr>
      <w:sz w:val="24"/>
      <w:szCs w:val="24"/>
      <w:lang w:val="en-GB"/>
    </w:rPr>
  </w:style>
  <w:style w:type="paragraph" w:styleId="Corpodeltesto3">
    <w:name w:val="Body Text 3"/>
    <w:basedOn w:val="Normale"/>
    <w:link w:val="Corpodeltesto3Carattere"/>
    <w:uiPriority w:val="98"/>
    <w:semiHidden/>
    <w:rsid w:val="00D143F2"/>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D143F2"/>
    <w:rPr>
      <w:sz w:val="16"/>
      <w:szCs w:val="16"/>
      <w:lang w:val="en-GB"/>
    </w:rPr>
  </w:style>
  <w:style w:type="paragraph" w:styleId="Primorientrocorpodeltesto">
    <w:name w:val="Body Text First Indent"/>
    <w:basedOn w:val="Corpotesto"/>
    <w:link w:val="PrimorientrocorpodeltestoCarattere"/>
    <w:uiPriority w:val="98"/>
    <w:semiHidden/>
    <w:rsid w:val="00D143F2"/>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D143F2"/>
    <w:rPr>
      <w:sz w:val="24"/>
      <w:szCs w:val="24"/>
      <w:lang w:val="en-GB"/>
    </w:rPr>
  </w:style>
  <w:style w:type="paragraph" w:styleId="Rientrocorpodeltesto">
    <w:name w:val="Body Text Indent"/>
    <w:basedOn w:val="Normale"/>
    <w:link w:val="RientrocorpodeltestoCarattere"/>
    <w:uiPriority w:val="98"/>
    <w:semiHidden/>
    <w:rsid w:val="00D143F2"/>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D143F2"/>
    <w:rPr>
      <w:sz w:val="24"/>
      <w:szCs w:val="24"/>
      <w:lang w:val="en-GB"/>
    </w:rPr>
  </w:style>
  <w:style w:type="paragraph" w:styleId="Primorientrocorpodeltesto2">
    <w:name w:val="Body Text First Indent 2"/>
    <w:basedOn w:val="Rientrocorpodeltesto"/>
    <w:link w:val="Primorientrocorpodeltesto2Carattere"/>
    <w:uiPriority w:val="98"/>
    <w:semiHidden/>
    <w:rsid w:val="00D143F2"/>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D143F2"/>
    <w:rPr>
      <w:sz w:val="24"/>
      <w:szCs w:val="24"/>
      <w:lang w:val="en-GB"/>
    </w:rPr>
  </w:style>
  <w:style w:type="paragraph" w:styleId="Rientrocorpodeltesto2">
    <w:name w:val="Body Text Indent 2"/>
    <w:basedOn w:val="Normale"/>
    <w:link w:val="Rientrocorpodeltesto2Carattere"/>
    <w:uiPriority w:val="98"/>
    <w:semiHidden/>
    <w:rsid w:val="00D143F2"/>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D143F2"/>
    <w:rPr>
      <w:sz w:val="24"/>
      <w:szCs w:val="24"/>
      <w:lang w:val="en-GB"/>
    </w:rPr>
  </w:style>
  <w:style w:type="paragraph" w:styleId="Rientrocorpodeltesto3">
    <w:name w:val="Body Text Indent 3"/>
    <w:basedOn w:val="Normale"/>
    <w:link w:val="Rientrocorpodeltesto3Carattere"/>
    <w:uiPriority w:val="98"/>
    <w:semiHidden/>
    <w:rsid w:val="00D143F2"/>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D143F2"/>
    <w:rPr>
      <w:sz w:val="16"/>
      <w:szCs w:val="16"/>
      <w:lang w:val="en-GB"/>
    </w:rPr>
  </w:style>
  <w:style w:type="paragraph" w:styleId="Didascalia">
    <w:name w:val="caption"/>
    <w:basedOn w:val="Normale"/>
    <w:next w:val="Normale"/>
    <w:uiPriority w:val="98"/>
    <w:semiHidden/>
    <w:qFormat/>
    <w:rsid w:val="00D143F2"/>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D143F2"/>
    <w:pPr>
      <w:ind w:left="4252"/>
    </w:pPr>
  </w:style>
  <w:style w:type="character" w:customStyle="1" w:styleId="FormuladichiusuraCarattere">
    <w:name w:val="Formula di chiusura Carattere"/>
    <w:basedOn w:val="Carpredefinitoparagrafo"/>
    <w:link w:val="Formuladichiusura"/>
    <w:uiPriority w:val="98"/>
    <w:semiHidden/>
    <w:rsid w:val="00D143F2"/>
    <w:rPr>
      <w:sz w:val="24"/>
      <w:szCs w:val="24"/>
      <w:lang w:val="en-GB"/>
    </w:rPr>
  </w:style>
  <w:style w:type="table" w:styleId="Grigliaacolori">
    <w:name w:val="Colorful Grid"/>
    <w:basedOn w:val="Tabellanormale"/>
    <w:uiPriority w:val="73"/>
    <w:semiHidden/>
    <w:rsid w:val="00D143F2"/>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D143F2"/>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D143F2"/>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D143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D143F2"/>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D143F2"/>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D143F2"/>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D143F2"/>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D143F2"/>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D143F2"/>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D143F2"/>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D143F2"/>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D143F2"/>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D143F2"/>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D143F2"/>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D143F2"/>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D143F2"/>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D143F2"/>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D143F2"/>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D143F2"/>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D143F2"/>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D143F2"/>
    <w:rPr>
      <w:b/>
      <w:bCs/>
    </w:rPr>
  </w:style>
  <w:style w:type="character" w:customStyle="1" w:styleId="SoggettocommentoCarattere">
    <w:name w:val="Soggetto commento Carattere"/>
    <w:basedOn w:val="TestocommentoCarattere"/>
    <w:link w:val="Soggettocommento"/>
    <w:uiPriority w:val="98"/>
    <w:semiHidden/>
    <w:rsid w:val="00D143F2"/>
    <w:rPr>
      <w:b/>
      <w:bCs/>
      <w:sz w:val="20"/>
      <w:szCs w:val="20"/>
      <w:lang w:val="en-GB"/>
    </w:rPr>
  </w:style>
  <w:style w:type="table" w:styleId="Elencoscuro">
    <w:name w:val="Dark List"/>
    <w:basedOn w:val="Tabellanormale"/>
    <w:uiPriority w:val="70"/>
    <w:semiHidden/>
    <w:rsid w:val="00D143F2"/>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D143F2"/>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D143F2"/>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D143F2"/>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D143F2"/>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D143F2"/>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D143F2"/>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D143F2"/>
  </w:style>
  <w:style w:type="character" w:customStyle="1" w:styleId="DataCarattere">
    <w:name w:val="Data Carattere"/>
    <w:basedOn w:val="Carpredefinitoparagrafo"/>
    <w:link w:val="Data"/>
    <w:uiPriority w:val="98"/>
    <w:semiHidden/>
    <w:rsid w:val="00D143F2"/>
    <w:rPr>
      <w:sz w:val="24"/>
      <w:szCs w:val="24"/>
      <w:lang w:val="en-GB"/>
    </w:rPr>
  </w:style>
  <w:style w:type="paragraph" w:styleId="Mappadocumento">
    <w:name w:val="Document Map"/>
    <w:basedOn w:val="Normale"/>
    <w:link w:val="MappadocumentoCarattere"/>
    <w:uiPriority w:val="98"/>
    <w:semiHidden/>
    <w:rsid w:val="00D143F2"/>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D143F2"/>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D143F2"/>
  </w:style>
  <w:style w:type="character" w:customStyle="1" w:styleId="FirmadipostaelettronicaCarattere">
    <w:name w:val="Firma di posta elettronica Carattere"/>
    <w:basedOn w:val="Carpredefinitoparagrafo"/>
    <w:link w:val="Firmadipostaelettronica"/>
    <w:uiPriority w:val="98"/>
    <w:semiHidden/>
    <w:rsid w:val="00D143F2"/>
    <w:rPr>
      <w:sz w:val="24"/>
      <w:szCs w:val="24"/>
      <w:lang w:val="en-GB"/>
    </w:rPr>
  </w:style>
  <w:style w:type="character" w:styleId="Rimandonotadichiusura">
    <w:name w:val="endnote reference"/>
    <w:basedOn w:val="Carpredefinitoparagrafo"/>
    <w:uiPriority w:val="98"/>
    <w:semiHidden/>
    <w:rsid w:val="00D143F2"/>
    <w:rPr>
      <w:vertAlign w:val="superscript"/>
    </w:rPr>
  </w:style>
  <w:style w:type="paragraph" w:styleId="Testonotadichiusura">
    <w:name w:val="endnote text"/>
    <w:basedOn w:val="Normale"/>
    <w:link w:val="TestonotadichiusuraCarattere"/>
    <w:uiPriority w:val="98"/>
    <w:semiHidden/>
    <w:rsid w:val="00D143F2"/>
    <w:rPr>
      <w:sz w:val="20"/>
      <w:szCs w:val="20"/>
    </w:rPr>
  </w:style>
  <w:style w:type="character" w:customStyle="1" w:styleId="TestonotadichiusuraCarattere">
    <w:name w:val="Testo nota di chiusura Carattere"/>
    <w:basedOn w:val="Carpredefinitoparagrafo"/>
    <w:link w:val="Testonotadichiusura"/>
    <w:uiPriority w:val="98"/>
    <w:semiHidden/>
    <w:rsid w:val="00D143F2"/>
    <w:rPr>
      <w:sz w:val="20"/>
      <w:szCs w:val="20"/>
      <w:lang w:val="en-GB"/>
    </w:rPr>
  </w:style>
  <w:style w:type="paragraph" w:styleId="Indirizzodestinatario">
    <w:name w:val="envelope address"/>
    <w:basedOn w:val="Normale"/>
    <w:uiPriority w:val="98"/>
    <w:semiHidden/>
    <w:rsid w:val="00D143F2"/>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D143F2"/>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D143F2"/>
    <w:rPr>
      <w:color w:val="7030A0" w:themeColor="followedHyperlink"/>
      <w:u w:val="single"/>
    </w:rPr>
  </w:style>
  <w:style w:type="character" w:styleId="Rimandonotaapidipagina">
    <w:name w:val="footnote reference"/>
    <w:basedOn w:val="Carpredefinitoparagrafo"/>
    <w:uiPriority w:val="98"/>
    <w:semiHidden/>
    <w:rsid w:val="00D143F2"/>
    <w:rPr>
      <w:vertAlign w:val="superscript"/>
    </w:rPr>
  </w:style>
  <w:style w:type="paragraph" w:styleId="Testonotaapidipagina">
    <w:name w:val="footnote text"/>
    <w:basedOn w:val="NormalJustified"/>
    <w:link w:val="TestonotaapidipaginaCarattere"/>
    <w:uiPriority w:val="98"/>
    <w:semiHidden/>
    <w:rsid w:val="00D143F2"/>
    <w:rPr>
      <w:sz w:val="20"/>
      <w:szCs w:val="20"/>
    </w:rPr>
  </w:style>
  <w:style w:type="character" w:customStyle="1" w:styleId="TestonotaapidipaginaCarattere">
    <w:name w:val="Testo nota a piè di pagina Carattere"/>
    <w:basedOn w:val="Carpredefinitoparagrafo"/>
    <w:link w:val="Testonotaapidipagina"/>
    <w:uiPriority w:val="98"/>
    <w:semiHidden/>
    <w:rsid w:val="00D143F2"/>
    <w:rPr>
      <w:sz w:val="20"/>
      <w:szCs w:val="20"/>
      <w:lang w:val="en-GB"/>
    </w:rPr>
  </w:style>
  <w:style w:type="character" w:styleId="AcronimoHTML">
    <w:name w:val="HTML Acronym"/>
    <w:basedOn w:val="Carpredefinitoparagrafo"/>
    <w:uiPriority w:val="98"/>
    <w:semiHidden/>
    <w:rsid w:val="00D143F2"/>
  </w:style>
  <w:style w:type="paragraph" w:styleId="IndirizzoHTML">
    <w:name w:val="HTML Address"/>
    <w:basedOn w:val="Normale"/>
    <w:link w:val="IndirizzoHTMLCarattere"/>
    <w:uiPriority w:val="98"/>
    <w:semiHidden/>
    <w:rsid w:val="00D143F2"/>
    <w:rPr>
      <w:i/>
      <w:iCs/>
    </w:rPr>
  </w:style>
  <w:style w:type="character" w:customStyle="1" w:styleId="IndirizzoHTMLCarattere">
    <w:name w:val="Indirizzo HTML Carattere"/>
    <w:basedOn w:val="Carpredefinitoparagrafo"/>
    <w:link w:val="IndirizzoHTML"/>
    <w:uiPriority w:val="98"/>
    <w:semiHidden/>
    <w:rsid w:val="00D143F2"/>
    <w:rPr>
      <w:i/>
      <w:iCs/>
      <w:sz w:val="24"/>
      <w:szCs w:val="24"/>
      <w:lang w:val="en-GB"/>
    </w:rPr>
  </w:style>
  <w:style w:type="character" w:styleId="CitazioneHTML">
    <w:name w:val="HTML Cite"/>
    <w:basedOn w:val="Carpredefinitoparagrafo"/>
    <w:uiPriority w:val="98"/>
    <w:semiHidden/>
    <w:rsid w:val="00D143F2"/>
    <w:rPr>
      <w:i/>
      <w:iCs/>
    </w:rPr>
  </w:style>
  <w:style w:type="character" w:styleId="CodiceHTML">
    <w:name w:val="HTML Code"/>
    <w:basedOn w:val="Carpredefinitoparagrafo"/>
    <w:uiPriority w:val="98"/>
    <w:semiHidden/>
    <w:rsid w:val="00D143F2"/>
    <w:rPr>
      <w:rFonts w:ascii="Consolas" w:hAnsi="Consolas" w:cs="Consolas"/>
      <w:sz w:val="20"/>
      <w:szCs w:val="20"/>
    </w:rPr>
  </w:style>
  <w:style w:type="character" w:styleId="DefinizioneHTML">
    <w:name w:val="HTML Definition"/>
    <w:basedOn w:val="Carpredefinitoparagrafo"/>
    <w:uiPriority w:val="98"/>
    <w:semiHidden/>
    <w:rsid w:val="00D143F2"/>
    <w:rPr>
      <w:i/>
      <w:iCs/>
    </w:rPr>
  </w:style>
  <w:style w:type="character" w:styleId="TastieraHTML">
    <w:name w:val="HTML Keyboard"/>
    <w:basedOn w:val="Carpredefinitoparagrafo"/>
    <w:uiPriority w:val="98"/>
    <w:semiHidden/>
    <w:rsid w:val="00D143F2"/>
    <w:rPr>
      <w:rFonts w:ascii="Consolas" w:hAnsi="Consolas" w:cs="Consolas"/>
      <w:sz w:val="20"/>
      <w:szCs w:val="20"/>
    </w:rPr>
  </w:style>
  <w:style w:type="paragraph" w:styleId="PreformattatoHTML">
    <w:name w:val="HTML Preformatted"/>
    <w:basedOn w:val="Normale"/>
    <w:link w:val="PreformattatoHTMLCarattere"/>
    <w:uiPriority w:val="98"/>
    <w:semiHidden/>
    <w:rsid w:val="00D143F2"/>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D143F2"/>
    <w:rPr>
      <w:rFonts w:ascii="Consolas" w:hAnsi="Consolas" w:cs="Consolas"/>
      <w:sz w:val="20"/>
      <w:szCs w:val="20"/>
      <w:lang w:val="en-GB"/>
    </w:rPr>
  </w:style>
  <w:style w:type="character" w:styleId="EsempioHTML">
    <w:name w:val="HTML Sample"/>
    <w:basedOn w:val="Carpredefinitoparagrafo"/>
    <w:uiPriority w:val="98"/>
    <w:semiHidden/>
    <w:rsid w:val="00D143F2"/>
    <w:rPr>
      <w:rFonts w:ascii="Consolas" w:hAnsi="Consolas" w:cs="Consolas"/>
      <w:sz w:val="24"/>
      <w:szCs w:val="24"/>
    </w:rPr>
  </w:style>
  <w:style w:type="character" w:styleId="MacchinadascrivereHTML">
    <w:name w:val="HTML Typewriter"/>
    <w:basedOn w:val="Carpredefinitoparagrafo"/>
    <w:uiPriority w:val="98"/>
    <w:semiHidden/>
    <w:rsid w:val="00D143F2"/>
    <w:rPr>
      <w:rFonts w:ascii="Consolas" w:hAnsi="Consolas" w:cs="Consolas"/>
      <w:sz w:val="20"/>
      <w:szCs w:val="20"/>
    </w:rPr>
  </w:style>
  <w:style w:type="character" w:styleId="VariabileHTML">
    <w:name w:val="HTML Variable"/>
    <w:basedOn w:val="Carpredefinitoparagrafo"/>
    <w:uiPriority w:val="98"/>
    <w:semiHidden/>
    <w:rsid w:val="00D143F2"/>
    <w:rPr>
      <w:i/>
      <w:iCs/>
    </w:rPr>
  </w:style>
  <w:style w:type="character" w:styleId="Collegamentoipertestuale">
    <w:name w:val="Hyperlink"/>
    <w:basedOn w:val="Carpredefinitoparagrafo"/>
    <w:uiPriority w:val="98"/>
    <w:semiHidden/>
    <w:rsid w:val="00D143F2"/>
    <w:rPr>
      <w:color w:val="0072BC" w:themeColor="hyperlink"/>
      <w:u w:val="single"/>
    </w:rPr>
  </w:style>
  <w:style w:type="paragraph" w:styleId="Indice1">
    <w:name w:val="index 1"/>
    <w:basedOn w:val="Normale"/>
    <w:next w:val="Normale"/>
    <w:autoRedefine/>
    <w:uiPriority w:val="98"/>
    <w:semiHidden/>
    <w:rsid w:val="00D143F2"/>
    <w:pPr>
      <w:ind w:left="240" w:hanging="240"/>
    </w:pPr>
  </w:style>
  <w:style w:type="paragraph" w:styleId="Indice2">
    <w:name w:val="index 2"/>
    <w:basedOn w:val="Normale"/>
    <w:next w:val="Normale"/>
    <w:autoRedefine/>
    <w:uiPriority w:val="98"/>
    <w:semiHidden/>
    <w:rsid w:val="00D143F2"/>
    <w:pPr>
      <w:ind w:left="480" w:hanging="240"/>
    </w:pPr>
  </w:style>
  <w:style w:type="paragraph" w:styleId="Indice3">
    <w:name w:val="index 3"/>
    <w:basedOn w:val="Normale"/>
    <w:next w:val="Normale"/>
    <w:autoRedefine/>
    <w:uiPriority w:val="98"/>
    <w:semiHidden/>
    <w:rsid w:val="00D143F2"/>
    <w:pPr>
      <w:ind w:left="720" w:hanging="240"/>
    </w:pPr>
  </w:style>
  <w:style w:type="paragraph" w:styleId="Indice4">
    <w:name w:val="index 4"/>
    <w:basedOn w:val="Normale"/>
    <w:next w:val="Normale"/>
    <w:autoRedefine/>
    <w:uiPriority w:val="98"/>
    <w:semiHidden/>
    <w:rsid w:val="00D143F2"/>
    <w:pPr>
      <w:ind w:left="960" w:hanging="240"/>
    </w:pPr>
  </w:style>
  <w:style w:type="paragraph" w:styleId="Indice5">
    <w:name w:val="index 5"/>
    <w:basedOn w:val="Normale"/>
    <w:next w:val="Normale"/>
    <w:autoRedefine/>
    <w:uiPriority w:val="98"/>
    <w:semiHidden/>
    <w:rsid w:val="00D143F2"/>
    <w:pPr>
      <w:ind w:left="1200" w:hanging="240"/>
    </w:pPr>
  </w:style>
  <w:style w:type="paragraph" w:styleId="Indice6">
    <w:name w:val="index 6"/>
    <w:basedOn w:val="Normale"/>
    <w:next w:val="Normale"/>
    <w:autoRedefine/>
    <w:uiPriority w:val="98"/>
    <w:semiHidden/>
    <w:rsid w:val="00D143F2"/>
    <w:pPr>
      <w:ind w:left="1440" w:hanging="240"/>
    </w:pPr>
  </w:style>
  <w:style w:type="paragraph" w:styleId="Indice7">
    <w:name w:val="index 7"/>
    <w:basedOn w:val="Normale"/>
    <w:next w:val="Normale"/>
    <w:autoRedefine/>
    <w:uiPriority w:val="98"/>
    <w:semiHidden/>
    <w:rsid w:val="00D143F2"/>
    <w:pPr>
      <w:ind w:left="1680" w:hanging="240"/>
    </w:pPr>
  </w:style>
  <w:style w:type="paragraph" w:styleId="Indice8">
    <w:name w:val="index 8"/>
    <w:basedOn w:val="Normale"/>
    <w:next w:val="Normale"/>
    <w:autoRedefine/>
    <w:uiPriority w:val="98"/>
    <w:semiHidden/>
    <w:rsid w:val="00D143F2"/>
    <w:pPr>
      <w:ind w:left="1920" w:hanging="240"/>
    </w:pPr>
  </w:style>
  <w:style w:type="paragraph" w:styleId="Indice9">
    <w:name w:val="index 9"/>
    <w:basedOn w:val="Normale"/>
    <w:next w:val="Normale"/>
    <w:autoRedefine/>
    <w:uiPriority w:val="98"/>
    <w:semiHidden/>
    <w:rsid w:val="00D143F2"/>
    <w:pPr>
      <w:ind w:left="2160" w:hanging="240"/>
    </w:pPr>
  </w:style>
  <w:style w:type="paragraph" w:styleId="Titoloindice">
    <w:name w:val="index heading"/>
    <w:basedOn w:val="Normale"/>
    <w:next w:val="Indice1"/>
    <w:uiPriority w:val="98"/>
    <w:semiHidden/>
    <w:rsid w:val="00D143F2"/>
    <w:rPr>
      <w:rFonts w:asciiTheme="majorHAnsi" w:eastAsiaTheme="majorEastAsia" w:hAnsiTheme="majorHAnsi" w:cstheme="majorBidi"/>
      <w:b/>
      <w:bCs/>
    </w:rPr>
  </w:style>
  <w:style w:type="table" w:styleId="Grigliachiara">
    <w:name w:val="Light Grid"/>
    <w:basedOn w:val="Tabellanormale"/>
    <w:uiPriority w:val="62"/>
    <w:semiHidden/>
    <w:rsid w:val="00D143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D143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D143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D143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D143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D143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D143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D143F2"/>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D143F2"/>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D143F2"/>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D143F2"/>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D143F2"/>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D143F2"/>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D143F2"/>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D143F2"/>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D143F2"/>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D143F2"/>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D143F2"/>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D143F2"/>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D143F2"/>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D143F2"/>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D143F2"/>
  </w:style>
  <w:style w:type="paragraph" w:styleId="Elenco">
    <w:name w:val="List"/>
    <w:basedOn w:val="Normale"/>
    <w:uiPriority w:val="98"/>
    <w:semiHidden/>
    <w:rsid w:val="00D143F2"/>
    <w:pPr>
      <w:ind w:left="283" w:hanging="283"/>
      <w:contextualSpacing/>
    </w:pPr>
  </w:style>
  <w:style w:type="paragraph" w:styleId="Elenco2">
    <w:name w:val="List 2"/>
    <w:basedOn w:val="Normale"/>
    <w:uiPriority w:val="98"/>
    <w:semiHidden/>
    <w:rsid w:val="00D143F2"/>
    <w:pPr>
      <w:ind w:left="566" w:hanging="283"/>
      <w:contextualSpacing/>
    </w:pPr>
  </w:style>
  <w:style w:type="paragraph" w:styleId="Elenco3">
    <w:name w:val="List 3"/>
    <w:basedOn w:val="Normale"/>
    <w:uiPriority w:val="98"/>
    <w:semiHidden/>
    <w:rsid w:val="00D143F2"/>
    <w:pPr>
      <w:ind w:left="849" w:hanging="283"/>
      <w:contextualSpacing/>
    </w:pPr>
  </w:style>
  <w:style w:type="paragraph" w:styleId="Elenco4">
    <w:name w:val="List 4"/>
    <w:basedOn w:val="Normale"/>
    <w:uiPriority w:val="98"/>
    <w:semiHidden/>
    <w:rsid w:val="00D143F2"/>
    <w:pPr>
      <w:ind w:left="1132" w:hanging="283"/>
      <w:contextualSpacing/>
    </w:pPr>
  </w:style>
  <w:style w:type="paragraph" w:styleId="Elenco5">
    <w:name w:val="List 5"/>
    <w:basedOn w:val="Normale"/>
    <w:uiPriority w:val="98"/>
    <w:semiHidden/>
    <w:rsid w:val="00D143F2"/>
    <w:pPr>
      <w:ind w:left="1415" w:hanging="283"/>
      <w:contextualSpacing/>
    </w:pPr>
  </w:style>
  <w:style w:type="paragraph" w:styleId="Puntoelenco">
    <w:name w:val="List Bullet"/>
    <w:basedOn w:val="Normale"/>
    <w:uiPriority w:val="98"/>
    <w:semiHidden/>
    <w:rsid w:val="00D143F2"/>
    <w:pPr>
      <w:numPr>
        <w:numId w:val="5"/>
      </w:numPr>
    </w:pPr>
  </w:style>
  <w:style w:type="paragraph" w:styleId="Puntoelenco2">
    <w:name w:val="List Bullet 2"/>
    <w:basedOn w:val="Normale"/>
    <w:uiPriority w:val="98"/>
    <w:semiHidden/>
    <w:rsid w:val="00D143F2"/>
    <w:pPr>
      <w:numPr>
        <w:numId w:val="6"/>
      </w:numPr>
      <w:contextualSpacing/>
    </w:pPr>
  </w:style>
  <w:style w:type="paragraph" w:styleId="Puntoelenco3">
    <w:name w:val="List Bullet 3"/>
    <w:basedOn w:val="Normale"/>
    <w:uiPriority w:val="98"/>
    <w:semiHidden/>
    <w:rsid w:val="00D143F2"/>
    <w:pPr>
      <w:numPr>
        <w:numId w:val="7"/>
      </w:numPr>
      <w:contextualSpacing/>
    </w:pPr>
  </w:style>
  <w:style w:type="paragraph" w:styleId="Puntoelenco4">
    <w:name w:val="List Bullet 4"/>
    <w:basedOn w:val="Normale"/>
    <w:uiPriority w:val="98"/>
    <w:semiHidden/>
    <w:rsid w:val="00D143F2"/>
    <w:pPr>
      <w:numPr>
        <w:numId w:val="8"/>
      </w:numPr>
      <w:contextualSpacing/>
    </w:pPr>
  </w:style>
  <w:style w:type="paragraph" w:styleId="Puntoelenco5">
    <w:name w:val="List Bullet 5"/>
    <w:basedOn w:val="Normale"/>
    <w:uiPriority w:val="98"/>
    <w:semiHidden/>
    <w:rsid w:val="00D143F2"/>
    <w:pPr>
      <w:numPr>
        <w:numId w:val="9"/>
      </w:numPr>
      <w:contextualSpacing/>
    </w:pPr>
  </w:style>
  <w:style w:type="paragraph" w:styleId="Elencocontinua">
    <w:name w:val="List Continue"/>
    <w:basedOn w:val="Normale"/>
    <w:uiPriority w:val="98"/>
    <w:semiHidden/>
    <w:rsid w:val="00D143F2"/>
    <w:pPr>
      <w:spacing w:after="120"/>
      <w:ind w:left="283"/>
      <w:contextualSpacing/>
    </w:pPr>
  </w:style>
  <w:style w:type="paragraph" w:styleId="Elencocontinua2">
    <w:name w:val="List Continue 2"/>
    <w:basedOn w:val="Normale"/>
    <w:uiPriority w:val="98"/>
    <w:semiHidden/>
    <w:rsid w:val="00D143F2"/>
    <w:pPr>
      <w:spacing w:after="120"/>
      <w:ind w:left="566"/>
      <w:contextualSpacing/>
    </w:pPr>
  </w:style>
  <w:style w:type="paragraph" w:styleId="Elencocontinua3">
    <w:name w:val="List Continue 3"/>
    <w:basedOn w:val="Normale"/>
    <w:uiPriority w:val="98"/>
    <w:semiHidden/>
    <w:rsid w:val="00D143F2"/>
    <w:pPr>
      <w:spacing w:after="120"/>
      <w:ind w:left="849"/>
      <w:contextualSpacing/>
    </w:pPr>
  </w:style>
  <w:style w:type="paragraph" w:styleId="Elencocontinua4">
    <w:name w:val="List Continue 4"/>
    <w:basedOn w:val="Normale"/>
    <w:uiPriority w:val="98"/>
    <w:semiHidden/>
    <w:rsid w:val="00D143F2"/>
    <w:pPr>
      <w:spacing w:after="120"/>
      <w:ind w:left="1132"/>
      <w:contextualSpacing/>
    </w:pPr>
  </w:style>
  <w:style w:type="paragraph" w:styleId="Elencocontinua5">
    <w:name w:val="List Continue 5"/>
    <w:basedOn w:val="Normale"/>
    <w:uiPriority w:val="98"/>
    <w:semiHidden/>
    <w:rsid w:val="00D143F2"/>
    <w:pPr>
      <w:spacing w:after="120"/>
      <w:ind w:left="1415"/>
      <w:contextualSpacing/>
    </w:pPr>
  </w:style>
  <w:style w:type="paragraph" w:styleId="Numeroelenco">
    <w:name w:val="List Number"/>
    <w:basedOn w:val="Normale"/>
    <w:uiPriority w:val="98"/>
    <w:semiHidden/>
    <w:rsid w:val="00D143F2"/>
    <w:pPr>
      <w:numPr>
        <w:numId w:val="10"/>
      </w:numPr>
      <w:contextualSpacing/>
    </w:pPr>
  </w:style>
  <w:style w:type="paragraph" w:styleId="Numeroelenco2">
    <w:name w:val="List Number 2"/>
    <w:basedOn w:val="Normale"/>
    <w:uiPriority w:val="98"/>
    <w:semiHidden/>
    <w:rsid w:val="00D143F2"/>
    <w:pPr>
      <w:numPr>
        <w:numId w:val="11"/>
      </w:numPr>
      <w:contextualSpacing/>
    </w:pPr>
  </w:style>
  <w:style w:type="paragraph" w:styleId="Numeroelenco3">
    <w:name w:val="List Number 3"/>
    <w:basedOn w:val="Normale"/>
    <w:uiPriority w:val="98"/>
    <w:semiHidden/>
    <w:rsid w:val="00D143F2"/>
    <w:pPr>
      <w:numPr>
        <w:numId w:val="12"/>
      </w:numPr>
      <w:contextualSpacing/>
    </w:pPr>
  </w:style>
  <w:style w:type="paragraph" w:styleId="Numeroelenco4">
    <w:name w:val="List Number 4"/>
    <w:basedOn w:val="Normale"/>
    <w:uiPriority w:val="98"/>
    <w:semiHidden/>
    <w:rsid w:val="00D143F2"/>
    <w:pPr>
      <w:numPr>
        <w:numId w:val="13"/>
      </w:numPr>
      <w:contextualSpacing/>
    </w:pPr>
  </w:style>
  <w:style w:type="paragraph" w:styleId="Numeroelenco5">
    <w:name w:val="List Number 5"/>
    <w:basedOn w:val="Normale"/>
    <w:uiPriority w:val="98"/>
    <w:semiHidden/>
    <w:rsid w:val="00D143F2"/>
    <w:pPr>
      <w:numPr>
        <w:numId w:val="14"/>
      </w:numPr>
      <w:contextualSpacing/>
    </w:pPr>
  </w:style>
  <w:style w:type="paragraph" w:styleId="Testomacro">
    <w:name w:val="macro"/>
    <w:link w:val="TestomacroCarattere"/>
    <w:uiPriority w:val="98"/>
    <w:semiHidden/>
    <w:rsid w:val="00D143F2"/>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D143F2"/>
    <w:rPr>
      <w:rFonts w:ascii="Consolas" w:eastAsiaTheme="minorEastAsia" w:hAnsi="Consolas" w:cs="Consolas"/>
      <w:sz w:val="20"/>
      <w:szCs w:val="20"/>
    </w:rPr>
  </w:style>
  <w:style w:type="table" w:styleId="Grigliamedia1">
    <w:name w:val="Medium Grid 1"/>
    <w:basedOn w:val="Tabellanormale"/>
    <w:uiPriority w:val="67"/>
    <w:semiHidden/>
    <w:rsid w:val="00D143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D143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D143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D143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D143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D143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D143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D143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D143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D143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D143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D143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D143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D143F2"/>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D143F2"/>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D143F2"/>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D143F2"/>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D143F2"/>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D143F2"/>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D143F2"/>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D143F2"/>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D143F2"/>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D143F2"/>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D143F2"/>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D143F2"/>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D143F2"/>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D143F2"/>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D143F2"/>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D143F2"/>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D143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D143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D143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D143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D143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D143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D143F2"/>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D143F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D143F2"/>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D143F2"/>
    <w:rPr>
      <w:rFonts w:ascii="Times New Roman" w:hAnsi="Times New Roman" w:cs="Times New Roman"/>
    </w:rPr>
  </w:style>
  <w:style w:type="paragraph" w:styleId="Rientronormale">
    <w:name w:val="Normal Indent"/>
    <w:basedOn w:val="Normale"/>
    <w:uiPriority w:val="98"/>
    <w:semiHidden/>
    <w:rsid w:val="00D143F2"/>
    <w:pPr>
      <w:ind w:left="720"/>
    </w:pPr>
  </w:style>
  <w:style w:type="table" w:customStyle="1" w:styleId="ECHRTableNoLines">
    <w:name w:val="ECHR_Table_No_Lines"/>
    <w:basedOn w:val="Tabellanormale"/>
    <w:uiPriority w:val="99"/>
    <w:rsid w:val="00D143F2"/>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D143F2"/>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Testosegnaposto">
    <w:name w:val="Placeholder Text"/>
    <w:basedOn w:val="Carpredefinitoparagrafo"/>
    <w:uiPriority w:val="98"/>
    <w:semiHidden/>
    <w:rsid w:val="00D143F2"/>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D143F2"/>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D143F2"/>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D143F2"/>
  </w:style>
  <w:style w:type="character" w:customStyle="1" w:styleId="FormuladiaperturaCarattere">
    <w:name w:val="Formula di apertura Carattere"/>
    <w:basedOn w:val="Carpredefinitoparagrafo"/>
    <w:link w:val="Formuladiapertura"/>
    <w:uiPriority w:val="98"/>
    <w:semiHidden/>
    <w:rsid w:val="00D143F2"/>
    <w:rPr>
      <w:sz w:val="24"/>
      <w:szCs w:val="24"/>
      <w:lang w:val="en-GB"/>
    </w:rPr>
  </w:style>
  <w:style w:type="paragraph" w:styleId="Firma">
    <w:name w:val="Signature"/>
    <w:basedOn w:val="Normale"/>
    <w:link w:val="FirmaCarattere"/>
    <w:uiPriority w:val="98"/>
    <w:semiHidden/>
    <w:rsid w:val="00D143F2"/>
    <w:pPr>
      <w:ind w:left="4252"/>
    </w:pPr>
  </w:style>
  <w:style w:type="character" w:customStyle="1" w:styleId="FirmaCarattere">
    <w:name w:val="Firma Carattere"/>
    <w:basedOn w:val="Carpredefinitoparagrafo"/>
    <w:link w:val="Firma"/>
    <w:uiPriority w:val="98"/>
    <w:semiHidden/>
    <w:rsid w:val="00D143F2"/>
    <w:rPr>
      <w:sz w:val="24"/>
      <w:szCs w:val="24"/>
      <w:lang w:val="en-GB"/>
    </w:rPr>
  </w:style>
  <w:style w:type="table" w:styleId="Tabellaeffetti3D1">
    <w:name w:val="Table 3D effects 1"/>
    <w:basedOn w:val="Tabellanormale"/>
    <w:uiPriority w:val="99"/>
    <w:semiHidden/>
    <w:unhideWhenUsed/>
    <w:rsid w:val="00D143F2"/>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D143F2"/>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D143F2"/>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D143F2"/>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D143F2"/>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D143F2"/>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D143F2"/>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D143F2"/>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D143F2"/>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D143F2"/>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D143F2"/>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D143F2"/>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D143F2"/>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D143F2"/>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D143F2"/>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D143F2"/>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D143F2"/>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D143F2"/>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D143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D143F2"/>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D143F2"/>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D143F2"/>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D143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D143F2"/>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D143F2"/>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D143F2"/>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D143F2"/>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D143F2"/>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D143F2"/>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D143F2"/>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D143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D143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D143F2"/>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D143F2"/>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D143F2"/>
    <w:pPr>
      <w:ind w:left="240" w:hanging="240"/>
    </w:pPr>
  </w:style>
  <w:style w:type="paragraph" w:styleId="Indicedellefigure">
    <w:name w:val="table of figures"/>
    <w:basedOn w:val="Normale"/>
    <w:next w:val="Normale"/>
    <w:uiPriority w:val="98"/>
    <w:semiHidden/>
    <w:rsid w:val="00D143F2"/>
  </w:style>
  <w:style w:type="table" w:styleId="Tabellaprofessionale">
    <w:name w:val="Table Professional"/>
    <w:basedOn w:val="Tabellanormale"/>
    <w:uiPriority w:val="99"/>
    <w:semiHidden/>
    <w:unhideWhenUsed/>
    <w:rsid w:val="00D143F2"/>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D143F2"/>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D143F2"/>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D143F2"/>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D143F2"/>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D143F2"/>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D143F2"/>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D143F2"/>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D143F2"/>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D143F2"/>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D143F2"/>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D143F2"/>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D143F2"/>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D143F2"/>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D143F2"/>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D143F2"/>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D143F2"/>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D143F2"/>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D143F2"/>
    <w:pPr>
      <w:spacing w:after="100"/>
      <w:ind w:left="1680"/>
    </w:pPr>
  </w:style>
  <w:style w:type="paragraph" w:styleId="Sommario9">
    <w:name w:val="toc 9"/>
    <w:basedOn w:val="Normale"/>
    <w:next w:val="Normale"/>
    <w:autoRedefine/>
    <w:uiPriority w:val="98"/>
    <w:semiHidden/>
    <w:rsid w:val="00D143F2"/>
    <w:pPr>
      <w:spacing w:after="100"/>
      <w:ind w:left="1920"/>
    </w:pPr>
  </w:style>
  <w:style w:type="paragraph" w:customStyle="1" w:styleId="ECHRFooter">
    <w:name w:val="ECHR_Footer"/>
    <w:aliases w:val="Footer_ECHR"/>
    <w:basedOn w:val="Pidipagina"/>
    <w:uiPriority w:val="57"/>
    <w:semiHidden/>
    <w:rsid w:val="00987A64"/>
    <w:rPr>
      <w:sz w:val="8"/>
    </w:rPr>
  </w:style>
  <w:style w:type="paragraph" w:customStyle="1" w:styleId="Footer">
    <w:name w:val="_Footer"/>
    <w:aliases w:val="Footer_"/>
    <w:basedOn w:val="Pidipagina"/>
    <w:uiPriority w:val="57"/>
    <w:semiHidden/>
    <w:rsid w:val="000D61E7"/>
    <w:rPr>
      <w:sz w:val="8"/>
    </w:rPr>
  </w:style>
  <w:style w:type="paragraph" w:styleId="Pidipagina">
    <w:name w:val="footer"/>
    <w:basedOn w:val="Normale"/>
    <w:link w:val="PidipaginaCarattere"/>
    <w:uiPriority w:val="98"/>
    <w:semiHidden/>
    <w:rsid w:val="00D143F2"/>
    <w:pPr>
      <w:tabs>
        <w:tab w:val="center" w:pos="3686"/>
        <w:tab w:val="right" w:pos="7371"/>
      </w:tabs>
    </w:pPr>
  </w:style>
  <w:style w:type="character" w:customStyle="1" w:styleId="PidipaginaCarattere">
    <w:name w:val="Piè di pagina Carattere"/>
    <w:basedOn w:val="Carpredefinitoparagrafo"/>
    <w:link w:val="Pidipagina"/>
    <w:uiPriority w:val="98"/>
    <w:semiHidden/>
    <w:rsid w:val="00D143F2"/>
    <w:rPr>
      <w:sz w:val="24"/>
      <w:szCs w:val="24"/>
      <w:lang w:val="en-GB"/>
    </w:rPr>
  </w:style>
  <w:style w:type="paragraph" w:customStyle="1" w:styleId="ECHRFooterLine">
    <w:name w:val="ECHR_Footer_Line"/>
    <w:aliases w:val="_Footer_Line"/>
    <w:basedOn w:val="Normale"/>
    <w:next w:val="Normale"/>
    <w:uiPriority w:val="30"/>
    <w:semiHidden/>
    <w:rsid w:val="00D143F2"/>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D143F2"/>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Justified"/>
    <w:next w:val="JuPara"/>
    <w:uiPriority w:val="32"/>
    <w:rsid w:val="00D143F2"/>
    <w:pPr>
      <w:ind w:firstLine="284"/>
    </w:pPr>
    <w:rPr>
      <w:b/>
    </w:rPr>
  </w:style>
  <w:style w:type="paragraph" w:styleId="Intestazionenota">
    <w:name w:val="Note Heading"/>
    <w:basedOn w:val="Normale"/>
    <w:next w:val="Normale"/>
    <w:link w:val="IntestazionenotaCarattere"/>
    <w:uiPriority w:val="98"/>
    <w:semiHidden/>
    <w:rsid w:val="00D143F2"/>
  </w:style>
  <w:style w:type="character" w:customStyle="1" w:styleId="IntestazionenotaCarattere">
    <w:name w:val="Intestazione nota Carattere"/>
    <w:basedOn w:val="Carpredefinitoparagrafo"/>
    <w:link w:val="Intestazionenota"/>
    <w:uiPriority w:val="98"/>
    <w:semiHidden/>
    <w:rsid w:val="00D143F2"/>
    <w:rPr>
      <w:sz w:val="24"/>
      <w:szCs w:val="24"/>
      <w:lang w:val="en-GB"/>
    </w:rPr>
  </w:style>
  <w:style w:type="paragraph" w:customStyle="1" w:styleId="ECHRHeaderLandscape">
    <w:name w:val="ECHR_Header_Landscape"/>
    <w:aliases w:val="_Header_Landscape"/>
    <w:basedOn w:val="JuHeader"/>
    <w:uiPriority w:val="29"/>
    <w:semiHidden/>
    <w:rsid w:val="00D143F2"/>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D143F2"/>
    <w:pPr>
      <w:numPr>
        <w:numId w:val="18"/>
      </w:numPr>
      <w:spacing w:before="60" w:after="60"/>
    </w:pPr>
  </w:style>
  <w:style w:type="paragraph" w:customStyle="1" w:styleId="ECHRBullet2">
    <w:name w:val="ECHR_Bullet_2"/>
    <w:aliases w:val="_Bul_2"/>
    <w:basedOn w:val="ECHRBullet1"/>
    <w:uiPriority w:val="23"/>
    <w:semiHidden/>
    <w:rsid w:val="00D143F2"/>
    <w:pPr>
      <w:numPr>
        <w:ilvl w:val="1"/>
      </w:numPr>
    </w:pPr>
  </w:style>
  <w:style w:type="paragraph" w:customStyle="1" w:styleId="ECHRBullet3">
    <w:name w:val="ECHR_Bullet_3"/>
    <w:aliases w:val="_Bul_3"/>
    <w:basedOn w:val="ECHRBullet2"/>
    <w:uiPriority w:val="23"/>
    <w:semiHidden/>
    <w:rsid w:val="00D143F2"/>
    <w:pPr>
      <w:numPr>
        <w:ilvl w:val="2"/>
      </w:numPr>
    </w:pPr>
  </w:style>
  <w:style w:type="paragraph" w:customStyle="1" w:styleId="ECHRBullet4">
    <w:name w:val="ECHR_Bullet_4"/>
    <w:aliases w:val="_Bul_4"/>
    <w:basedOn w:val="ECHRBullet3"/>
    <w:uiPriority w:val="23"/>
    <w:semiHidden/>
    <w:rsid w:val="00D143F2"/>
    <w:pPr>
      <w:numPr>
        <w:ilvl w:val="3"/>
      </w:numPr>
    </w:pPr>
  </w:style>
  <w:style w:type="paragraph" w:customStyle="1" w:styleId="ECHRConfidential">
    <w:name w:val="ECHR_Confidential"/>
    <w:aliases w:val="_Confidential"/>
    <w:basedOn w:val="Normale"/>
    <w:next w:val="Normale"/>
    <w:uiPriority w:val="42"/>
    <w:semiHidden/>
    <w:qFormat/>
    <w:rsid w:val="00D143F2"/>
    <w:pPr>
      <w:jc w:val="right"/>
    </w:pPr>
    <w:rPr>
      <w:color w:val="C00000"/>
      <w:sz w:val="20"/>
    </w:rPr>
  </w:style>
  <w:style w:type="paragraph" w:customStyle="1" w:styleId="ECHRDecisionBody">
    <w:name w:val="ECHR_Decision_Body"/>
    <w:aliases w:val="_Decision_Body"/>
    <w:basedOn w:val="NormalJustified"/>
    <w:uiPriority w:val="54"/>
    <w:semiHidden/>
    <w:rsid w:val="00D143F2"/>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D143F2"/>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D143F2"/>
    <w:rPr>
      <w:rFonts w:ascii="Arial" w:hAnsi="Arial"/>
      <w:i/>
      <w:color w:val="002856"/>
      <w:sz w:val="32"/>
      <w:szCs w:val="24"/>
      <w:lang w:val="en-GB"/>
    </w:rPr>
  </w:style>
  <w:style w:type="paragraph" w:customStyle="1" w:styleId="ECHRFooterLineLandscape">
    <w:name w:val="ECHR_Footer_Line_Landscape"/>
    <w:aliases w:val="_Footer_Line_Landscape"/>
    <w:basedOn w:val="Normale"/>
    <w:uiPriority w:val="30"/>
    <w:semiHidden/>
    <w:rsid w:val="00D143F2"/>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e"/>
    <w:uiPriority w:val="44"/>
    <w:semiHidden/>
    <w:qFormat/>
    <w:rsid w:val="00D143F2"/>
    <w:pPr>
      <w:jc w:val="right"/>
    </w:pPr>
    <w:rPr>
      <w:sz w:val="20"/>
    </w:rPr>
  </w:style>
  <w:style w:type="paragraph" w:customStyle="1" w:styleId="ECHRHeaderRefIt">
    <w:name w:val="ECHR_Header_Ref_It"/>
    <w:aliases w:val="_Ref_Ital"/>
    <w:basedOn w:val="Normale"/>
    <w:next w:val="ECHRHeaderDate"/>
    <w:uiPriority w:val="43"/>
    <w:semiHidden/>
    <w:qFormat/>
    <w:rsid w:val="00D143F2"/>
    <w:pPr>
      <w:jc w:val="right"/>
    </w:pPr>
    <w:rPr>
      <w:i/>
      <w:sz w:val="20"/>
    </w:rPr>
  </w:style>
  <w:style w:type="paragraph" w:customStyle="1" w:styleId="ECHRHeading9">
    <w:name w:val="ECHR_Heading_9"/>
    <w:aliases w:val="_Head_9"/>
    <w:basedOn w:val="Titolo9"/>
    <w:uiPriority w:val="17"/>
    <w:semiHidden/>
    <w:rsid w:val="00D143F2"/>
    <w:pPr>
      <w:keepNext/>
      <w:keepLines/>
      <w:numPr>
        <w:ilvl w:val="8"/>
        <w:numId w:val="20"/>
      </w:numPr>
      <w:spacing w:before="100" w:beforeAutospacing="1"/>
      <w:contextualSpacing/>
      <w:jc w:val="both"/>
    </w:pPr>
    <w:rPr>
      <w:i w:val="0"/>
      <w:sz w:val="18"/>
    </w:rPr>
  </w:style>
  <w:style w:type="paragraph" w:customStyle="1" w:styleId="ECHRLine">
    <w:name w:val="ECHR_Line"/>
    <w:aliases w:val="_Line"/>
    <w:basedOn w:val="NormalJustified"/>
    <w:next w:val="Normale"/>
    <w:uiPriority w:val="46"/>
    <w:semiHidden/>
    <w:rsid w:val="00D143F2"/>
    <w:pPr>
      <w:pBdr>
        <w:bottom w:val="single" w:sz="12" w:space="1" w:color="949494" w:themeColor="text2" w:themeShade="BF"/>
      </w:pBdr>
      <w:spacing w:after="120"/>
    </w:pPr>
    <w:rPr>
      <w:sz w:val="12"/>
    </w:rPr>
  </w:style>
  <w:style w:type="paragraph" w:customStyle="1" w:styleId="ECHRNumberedList1">
    <w:name w:val="ECHR_Numbered_List_1"/>
    <w:aliases w:val="_Num_1"/>
    <w:basedOn w:val="NormalJustified"/>
    <w:uiPriority w:val="23"/>
    <w:semiHidden/>
    <w:qFormat/>
    <w:rsid w:val="00D143F2"/>
    <w:pPr>
      <w:numPr>
        <w:numId w:val="19"/>
      </w:numPr>
      <w:spacing w:before="60" w:after="60"/>
    </w:pPr>
  </w:style>
  <w:style w:type="paragraph" w:customStyle="1" w:styleId="ECHRNumberedList2">
    <w:name w:val="ECHR_Numbered_List_2"/>
    <w:aliases w:val="_Num_2"/>
    <w:basedOn w:val="ECHRNumberedList1"/>
    <w:uiPriority w:val="23"/>
    <w:semiHidden/>
    <w:rsid w:val="00D143F2"/>
    <w:pPr>
      <w:numPr>
        <w:ilvl w:val="1"/>
      </w:numPr>
    </w:pPr>
  </w:style>
  <w:style w:type="paragraph" w:customStyle="1" w:styleId="ECHRNumberedList3">
    <w:name w:val="ECHR_Numbered_List_3"/>
    <w:aliases w:val="_Num_3"/>
    <w:basedOn w:val="ECHRNumberedList2"/>
    <w:uiPriority w:val="23"/>
    <w:semiHidden/>
    <w:rsid w:val="00D143F2"/>
    <w:pPr>
      <w:numPr>
        <w:ilvl w:val="2"/>
      </w:numPr>
    </w:pPr>
  </w:style>
  <w:style w:type="paragraph" w:customStyle="1" w:styleId="ECHRParaHanging">
    <w:name w:val="ECHR_Para_Hanging"/>
    <w:aliases w:val="_Hanging"/>
    <w:basedOn w:val="NormalJustified"/>
    <w:uiPriority w:val="8"/>
    <w:semiHidden/>
    <w:qFormat/>
    <w:rsid w:val="00D143F2"/>
    <w:pPr>
      <w:ind w:left="567" w:hanging="567"/>
    </w:pPr>
  </w:style>
  <w:style w:type="paragraph" w:customStyle="1" w:styleId="ECHRParaIndent">
    <w:name w:val="ECHR_Para_Indent"/>
    <w:aliases w:val="_Indent"/>
    <w:basedOn w:val="NormalJustified"/>
    <w:uiPriority w:val="7"/>
    <w:semiHidden/>
    <w:qFormat/>
    <w:rsid w:val="00D143F2"/>
    <w:pPr>
      <w:spacing w:before="120" w:after="120"/>
      <w:ind w:left="284"/>
    </w:pPr>
  </w:style>
  <w:style w:type="character" w:customStyle="1" w:styleId="ECHRRed">
    <w:name w:val="ECHR_Red"/>
    <w:aliases w:val="_Red"/>
    <w:basedOn w:val="Carpredefinitoparagrafo"/>
    <w:uiPriority w:val="15"/>
    <w:semiHidden/>
    <w:qFormat/>
    <w:rsid w:val="00D143F2"/>
    <w:rPr>
      <w:color w:val="C00000" w:themeColor="accent2"/>
    </w:rPr>
  </w:style>
  <w:style w:type="paragraph" w:customStyle="1" w:styleId="DecList">
    <w:name w:val="Dec_List"/>
    <w:aliases w:val="_List"/>
    <w:basedOn w:val="JuList"/>
    <w:uiPriority w:val="22"/>
    <w:rsid w:val="00D143F2"/>
    <w:pPr>
      <w:numPr>
        <w:numId w:val="0"/>
      </w:numPr>
      <w:ind w:left="284"/>
    </w:pPr>
  </w:style>
  <w:style w:type="table" w:customStyle="1" w:styleId="ECHRTable">
    <w:name w:val="ECHR_Table"/>
    <w:basedOn w:val="Tabellanormale"/>
    <w:rsid w:val="00D143F2"/>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ellanormale"/>
    <w:uiPriority w:val="99"/>
    <w:rsid w:val="00D143F2"/>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D143F2"/>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e"/>
    <w:next w:val="Normale"/>
    <w:uiPriority w:val="28"/>
    <w:semiHidden/>
    <w:qFormat/>
    <w:rsid w:val="00D143F2"/>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D143F2"/>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D143F2"/>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e"/>
    <w:next w:val="Normale"/>
    <w:uiPriority w:val="26"/>
    <w:semiHidden/>
    <w:qFormat/>
    <w:rsid w:val="00D143F2"/>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D143F2"/>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D143F2"/>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D143F2"/>
    <w:pPr>
      <w:outlineLvl w:val="0"/>
    </w:pPr>
  </w:style>
  <w:style w:type="paragraph" w:customStyle="1" w:styleId="ECHRTitleTOC1">
    <w:name w:val="ECHR_Title_TOC_1"/>
    <w:aliases w:val="_Title_L_TOC"/>
    <w:basedOn w:val="ECHRTitle1"/>
    <w:next w:val="Normale"/>
    <w:uiPriority w:val="27"/>
    <w:semiHidden/>
    <w:qFormat/>
    <w:rsid w:val="00D143F2"/>
    <w:pPr>
      <w:outlineLvl w:val="0"/>
    </w:pPr>
  </w:style>
  <w:style w:type="table" w:customStyle="1" w:styleId="LtrTableAddress">
    <w:name w:val="Ltr_Table_Address"/>
    <w:aliases w:val="ECHR_Ltr_Table_Address"/>
    <w:basedOn w:val="Tabellanormale"/>
    <w:uiPriority w:val="99"/>
    <w:rsid w:val="00D143F2"/>
    <w:rPr>
      <w:sz w:val="24"/>
      <w:szCs w:val="24"/>
    </w:rPr>
    <w:tblPr>
      <w:tblInd w:w="5103" w:type="dxa"/>
    </w:tblPr>
  </w:style>
  <w:style w:type="table" w:customStyle="1" w:styleId="PCFTableStyle">
    <w:name w:val="PCF_Table_Style"/>
    <w:aliases w:val="ECHR_PCF_Table_Style"/>
    <w:basedOn w:val="Tabellanormale"/>
    <w:uiPriority w:val="99"/>
    <w:rsid w:val="00D143F2"/>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ellanormale"/>
    <w:uiPriority w:val="99"/>
    <w:rsid w:val="00D143F2"/>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D143F2"/>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D143F2"/>
    <w:rPr>
      <w:color w:val="FFFFFF"/>
    </w:rPr>
  </w:style>
  <w:style w:type="paragraph" w:customStyle="1" w:styleId="ECHRSpacer">
    <w:name w:val="ECHR_Spacer"/>
    <w:aliases w:val="_Spacer"/>
    <w:basedOn w:val="Normale"/>
    <w:uiPriority w:val="45"/>
    <w:semiHidden/>
    <w:rsid w:val="00D143F2"/>
    <w:rPr>
      <w:sz w:val="4"/>
    </w:rPr>
  </w:style>
  <w:style w:type="table" w:customStyle="1" w:styleId="ECHRTableGrey">
    <w:name w:val="ECHR_Table_Grey"/>
    <w:basedOn w:val="Tabellanormale"/>
    <w:uiPriority w:val="99"/>
    <w:rsid w:val="00D143F2"/>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D143F2"/>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Menzionenonrisolta1">
    <w:name w:val="Menzione non risolta1"/>
    <w:basedOn w:val="Carpredefinitoparagrafo"/>
    <w:uiPriority w:val="99"/>
    <w:semiHidden/>
    <w:unhideWhenUsed/>
    <w:rsid w:val="00D143F2"/>
    <w:rPr>
      <w:color w:val="605E5C"/>
      <w:shd w:val="clear" w:color="auto" w:fill="E1DFDD"/>
    </w:rPr>
  </w:style>
  <w:style w:type="character" w:customStyle="1" w:styleId="JuParaChar">
    <w:name w:val="Ju_Para Char"/>
    <w:aliases w:val="_Para Char"/>
    <w:link w:val="JuPara"/>
    <w:uiPriority w:val="4"/>
    <w:rsid w:val="005E55F6"/>
    <w:rPr>
      <w:sz w:val="24"/>
      <w:szCs w:val="24"/>
      <w:lang w:val="en-GB"/>
    </w:rPr>
  </w:style>
  <w:style w:type="table" w:styleId="Tabellagriglia1chiara">
    <w:name w:val="Grid Table 1 Light"/>
    <w:basedOn w:val="Tabellanormale"/>
    <w:uiPriority w:val="46"/>
    <w:semiHidden/>
    <w:rsid w:val="0059609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59609C"/>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59609C"/>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59609C"/>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59609C"/>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59609C"/>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59609C"/>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59609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59609C"/>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59609C"/>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59609C"/>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59609C"/>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59609C"/>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59609C"/>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5960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59609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59609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59609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59609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59609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59609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5960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59609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59609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59609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59609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59609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59609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59609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59609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59609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59609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59609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59609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59609C"/>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59609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59609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59609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59609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59609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59609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59609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59609C"/>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59609C"/>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59609C"/>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59609C"/>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59609C"/>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59609C"/>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59609C"/>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59609C"/>
    <w:rPr>
      <w:color w:val="2B579A"/>
      <w:shd w:val="clear" w:color="auto" w:fill="E1DFDD"/>
    </w:rPr>
  </w:style>
  <w:style w:type="table" w:styleId="Tabellaelenco1chiara">
    <w:name w:val="List Table 1 Light"/>
    <w:basedOn w:val="Tabellanormale"/>
    <w:uiPriority w:val="46"/>
    <w:semiHidden/>
    <w:rsid w:val="0059609C"/>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59609C"/>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59609C"/>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59609C"/>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59609C"/>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59609C"/>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59609C"/>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59609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59609C"/>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59609C"/>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59609C"/>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59609C"/>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59609C"/>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59609C"/>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59609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59609C"/>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59609C"/>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59609C"/>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59609C"/>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59609C"/>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59609C"/>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59609C"/>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59609C"/>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59609C"/>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59609C"/>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59609C"/>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59609C"/>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59609C"/>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59609C"/>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59609C"/>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59609C"/>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59609C"/>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59609C"/>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59609C"/>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59609C"/>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59609C"/>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59609C"/>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59609C"/>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59609C"/>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59609C"/>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59609C"/>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59609C"/>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59609C"/>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59609C"/>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59609C"/>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59609C"/>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59609C"/>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59609C"/>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59609C"/>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59609C"/>
    <w:rPr>
      <w:color w:val="2B579A"/>
      <w:shd w:val="clear" w:color="auto" w:fill="E1DFDD"/>
    </w:rPr>
  </w:style>
  <w:style w:type="table" w:styleId="Tabellasemplice-1">
    <w:name w:val="Plain Table 1"/>
    <w:basedOn w:val="Tabellanormale"/>
    <w:uiPriority w:val="41"/>
    <w:semiHidden/>
    <w:rsid w:val="0059609C"/>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59609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59609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59609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59609C"/>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59609C"/>
    <w:rPr>
      <w:u w:val="dotted"/>
    </w:rPr>
  </w:style>
  <w:style w:type="character" w:customStyle="1" w:styleId="SmartLink">
    <w:name w:val="Smart Link"/>
    <w:basedOn w:val="Carpredefinitoparagrafo"/>
    <w:uiPriority w:val="99"/>
    <w:semiHidden/>
    <w:unhideWhenUsed/>
    <w:rsid w:val="0059609C"/>
    <w:rPr>
      <w:color w:val="0000FF"/>
      <w:u w:val="single"/>
      <w:shd w:val="clear" w:color="auto" w:fill="F3F2F1"/>
    </w:rPr>
  </w:style>
  <w:style w:type="table" w:styleId="Grigliatabellachiara">
    <w:name w:val="Grid Table Light"/>
    <w:basedOn w:val="Tabellanormale"/>
    <w:uiPriority w:val="40"/>
    <w:semiHidden/>
    <w:rsid w:val="0059609C"/>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81084">
      <w:bodyDiv w:val="1"/>
      <w:marLeft w:val="0"/>
      <w:marRight w:val="0"/>
      <w:marTop w:val="0"/>
      <w:marBottom w:val="0"/>
      <w:divBdr>
        <w:top w:val="none" w:sz="0" w:space="0" w:color="auto"/>
        <w:left w:val="none" w:sz="0" w:space="0" w:color="auto"/>
        <w:bottom w:val="none" w:sz="0" w:space="0" w:color="auto"/>
        <w:right w:val="none" w:sz="0" w:space="0" w:color="auto"/>
      </w:divBdr>
    </w:div>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A4FDF-E876-462E-B3EA-0FCF0D28DC8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A131CF-7AD2-4F3A-B3ED-1C3DFC10EE5D}">
  <ds:schemaRefs>
    <ds:schemaRef ds:uri="http://schemas.microsoft.com/sharepoint/v3/contenttype/forms"/>
  </ds:schemaRefs>
</ds:datastoreItem>
</file>

<file path=customXml/itemProps3.xml><?xml version="1.0" encoding="utf-8"?>
<ds:datastoreItem xmlns:ds="http://schemas.openxmlformats.org/officeDocument/2006/customXml" ds:itemID="{C8A56329-192C-4C63-9251-B745A10A6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B8DE27C-F137-4477-87E6-58692ED1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1865</Words>
  <Characters>10634</Characters>
  <Application>Microsoft Office Word</Application>
  <DocSecurity>0</DocSecurity>
  <Lines>88</Lines>
  <Paragraphs>24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2022-12-28T17:03:00Z</dcterms:created>
  <dcterms:modified xsi:type="dcterms:W3CDTF">2022-12-28T17:03:00Z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51572/07</vt:lpwstr>
  </property>
  <property fmtid="{D5CDD505-2E9C-101B-9397-08002B2CF9AE}" pid="4" name="CASEID">
    <vt:lpwstr>479108</vt:lpwstr>
  </property>
  <property fmtid="{D5CDD505-2E9C-101B-9397-08002B2CF9AE}" pid="5" name="ContentTypeId">
    <vt:lpwstr>0x010100558EB02BDB9E204AB350EDD385B68E10</vt:lpwstr>
  </property>
</Properties>
</file>